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360" w:after="80"/>
        <w:jc w:val="center"/>
      </w:pPr>
      <w:r>
        <w:rPr>
          <w:rFonts w:ascii="Calibri" w:hAnsi="Calibri" w:eastAsia="Calibri"/>
          <w:b/>
          <w:color w:val="000000"/>
          <w:sz w:val="44"/>
        </w:rPr>
        <w:t>ПОЛИТИКА ИСПОЛЬЗОВАНИЯ COOKIES</w:t>
      </w:r>
    </w:p>
    <w:p>
      <w:pPr>
        <w:keepNext/>
        <w:spacing w:after="80"/>
        <w:jc w:val="center"/>
      </w:pPr>
      <w:r>
        <w:rPr>
          <w:rFonts w:ascii="Calibri" w:hAnsi="Calibri" w:eastAsia="Calibri"/>
          <w:b/>
          <w:color w:val="1F4D78"/>
          <w:sz w:val="23"/>
        </w:rPr>
        <w:t>сайта PROMTA.PRO</w:t>
      </w:r>
    </w:p>
    <w:p>
      <w:pPr>
        <w:spacing w:after="240"/>
        <w:jc w:val="center"/>
      </w:pPr>
      <w:r>
        <w:rPr>
          <w:rFonts w:ascii="Calibri" w:hAnsi="Calibri" w:eastAsia="Calibri"/>
          <w:color w:val="666666"/>
          <w:sz w:val="19"/>
        </w:rPr>
        <w:t>Редакция 1.0  |  действует с 08 сентября 2026 года</w:t>
      </w:r>
    </w:p>
    <w:p>
      <w:pPr>
        <w:pStyle w:val="Clause"/>
        <w:spacing w:before="80" w:after="160" w:line="264" w:lineRule="auto"/>
        <w:ind w:left="173" w:right="173"/>
        <w:shd w:fill="F4F6F9"/>
        <w:keepLines/>
        <w:widowControl/>
        <w:pBdr>
          <w:left w:val="single" w:sz="16" w:space="6" w:color="2E74B5"/>
        </w:pBdr>
      </w:pPr>
      <w:r>
        <w:rPr>
          <w:rFonts w:ascii="Calibri" w:hAnsi="Calibri" w:eastAsia="Calibri"/>
          <w:b/>
          <w:color w:val="1F4D78"/>
          <w:sz w:val="22"/>
        </w:rPr>
        <w:t xml:space="preserve">Коротко. </w:t>
      </w:r>
      <w:r>
        <w:rPr>
          <w:rFonts w:ascii="Calibri" w:hAnsi="Calibri" w:eastAsia="Calibri"/>
          <w:color w:val="1F1F1F"/>
          <w:sz w:val="22"/>
        </w:rPr>
        <w:t>Строго необходимые cookies обеспечивают работу Сайта. Необязательные функциональные, аналитические и рекламные cookies включаются только после выбора пользователя, если иное законное основание прямо не предусмотрено.</w:t>
      </w:r>
    </w:p>
    <w:p>
      <w:pPr>
        <w:pStyle w:val="Heading1"/>
      </w:pPr>
      <w:r>
        <w:t>1. Назначение Политики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1.1. </w:t>
      </w:r>
      <w:r>
        <w:rPr>
          <w:rFonts w:ascii="Calibri" w:hAnsi="Calibri" w:eastAsia="Calibri"/>
          <w:color w:val="1F1F1F"/>
          <w:sz w:val="22"/>
        </w:rPr>
        <w:t>Настоящая Политика объясняет, как ООО «Пищевые технологии» использует cookies и сходные технологии на сайте https://promta.pro, какие данные при этом могут обрабатываться и как пользователь управляет выбором.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1.2. </w:t>
      </w:r>
      <w:r>
        <w:rPr>
          <w:rFonts w:ascii="Calibri" w:hAnsi="Calibri" w:eastAsia="Calibri"/>
          <w:color w:val="1F1F1F"/>
          <w:sz w:val="22"/>
        </w:rPr>
        <w:t>Cookie — небольшой фрагмент данных, который Сайт сохраняет в браузере или получает из него при последующих обращениях. Сходные технологии могут включать локальное хранилище браузера, пиксели и технические идентификаторы.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1.3. </w:t>
      </w:r>
      <w:r>
        <w:rPr>
          <w:rFonts w:ascii="Calibri" w:hAnsi="Calibri" w:eastAsia="Calibri"/>
          <w:color w:val="1F1F1F"/>
          <w:sz w:val="22"/>
        </w:rPr>
        <w:t>Cookies могут содержать персональные данные либо становиться персональными данными при сопоставлении с учётной записью или иными сведениями. В таком случае их обработка регулируется также Политикой обработки персональных данных PROMTA.PRO.</w:t>
      </w:r>
    </w:p>
    <w:p>
      <w:pPr>
        <w:pStyle w:val="Heading1"/>
      </w:pPr>
      <w:r>
        <w:t>2. Категории cookies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3900"/>
        <w:gridCol w:w="3560"/>
      </w:tblGrid>
      <w:tr>
        <w:trPr>
          <w:tblHeader w:val="true"/>
        </w:trPr>
        <w:tc>
          <w:tcPr>
            <w:tcW w:type="dxa" w:w="1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Категория</w:t>
            </w:r>
          </w:p>
        </w:tc>
        <w:tc>
          <w:tcPr>
            <w:tcW w:type="dxa" w:w="3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Назначение</w:t>
            </w:r>
          </w:p>
        </w:tc>
        <w:tc>
          <w:tcPr>
            <w:tcW w:type="dxa" w:w="35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Управление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Строго необходимые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Сеанс, корзина, авторизация, балансировка нагрузки, защита от атак и мошенничества, фиксация настроек конфиденциальности.</w:t>
            </w:r>
          </w:p>
        </w:tc>
        <w:tc>
          <w:tcPr>
            <w:tcW w:type="dxa" w:w="3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Используются для предоставления запрошенной функции и безопасности. Отключение в панели Сайта невозможно; блокировка в браузере может нарушить работу.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Функциональные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Запоминают язык, регион, отображение, ранее выбранные настройки и дополнительные удобства.</w:t>
            </w:r>
          </w:p>
        </w:tc>
        <w:tc>
          <w:tcPr>
            <w:tcW w:type="dxa" w:w="3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Необязательны. Устанавливаются после выбора пользователя, если не требуются для явно запрошенной настройки.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Аналитические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Помогают оценивать посещаемость, ошибки, пути переходов и улучшать интерфейс на агрегированном или псевдонимизированном уровне.</w:t>
            </w:r>
          </w:p>
        </w:tc>
        <w:tc>
          <w:tcPr>
            <w:tcW w:type="dxa" w:w="3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Необязательны. Не активируются до согласия, когда данные позволяют идентифицировать пользователя прямо или косвенно.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Рекламные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Ограничение частоты, измерение рекламных кампаний и персонализация рекламы.</w:t>
            </w:r>
          </w:p>
        </w:tc>
        <w:tc>
          <w:tcPr>
            <w:tcW w:type="dxa" w:w="3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Необязательны. Не используются без отдельного выбора и не объединяются с общим согласием на обработку данных.</w:t>
            </w:r>
          </w:p>
        </w:tc>
      </w:tr>
    </w:tbl>
    <w:p>
      <w:pPr>
        <w:spacing w:before="80" w:after="0"/>
      </w:pPr>
    </w:p>
    <w:p>
      <w:pPr>
        <w:pStyle w:val="Heading1"/>
      </w:pPr>
      <w:r>
        <w:t>3. Какие данные могут собираться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3.1. </w:t>
      </w:r>
      <w:r>
        <w:rPr>
          <w:rFonts w:ascii="Calibri" w:hAnsi="Calibri" w:eastAsia="Calibri"/>
          <w:color w:val="1F1F1F"/>
          <w:sz w:val="22"/>
        </w:rPr>
        <w:t>IP-адрес; дата и время обращения; адрес запрошенной страницы; источник перехода; тип и версия браузера; операционная система; язык; разрешение и иные технические характеристики устройства.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3.2. </w:t>
      </w:r>
      <w:r>
        <w:rPr>
          <w:rFonts w:ascii="Calibri" w:hAnsi="Calibri" w:eastAsia="Calibri"/>
          <w:color w:val="1F1F1F"/>
          <w:sz w:val="22"/>
        </w:rPr>
        <w:t>Идентификатор сеанса, содержимое корзины, статус авторизации, выбор настроек cookies, события интерфейса, сведения об ошибках и производительности.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3.3. </w:t>
      </w:r>
      <w:r>
        <w:rPr>
          <w:rFonts w:ascii="Calibri" w:hAnsi="Calibri" w:eastAsia="Calibri"/>
          <w:color w:val="1F1F1F"/>
          <w:sz w:val="22"/>
        </w:rPr>
        <w:t>При авторизации технический идентификатор может быть связан с учётной записью для безопасности, сохранения корзины и предоставления запрошенных функций.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3.4. </w:t>
      </w:r>
      <w:r>
        <w:rPr>
          <w:rFonts w:ascii="Calibri" w:hAnsi="Calibri" w:eastAsia="Calibri"/>
          <w:color w:val="1F1F1F"/>
          <w:sz w:val="22"/>
        </w:rPr>
        <w:t>Cookies PROMTA.PRO не предназначены для хранения полного номера банковской карты, CVC/CVV, платёжного пароля или содержимого документов пользователя.</w:t>
      </w:r>
    </w:p>
    <w:p>
      <w:pPr>
        <w:pStyle w:val="Heading1"/>
      </w:pPr>
      <w:r>
        <w:t>4. Собственные и сторонние cookies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4.1. </w:t>
      </w:r>
      <w:r>
        <w:rPr>
          <w:rFonts w:ascii="Calibri" w:hAnsi="Calibri" w:eastAsia="Calibri"/>
          <w:color w:val="1F1F1F"/>
          <w:sz w:val="22"/>
        </w:rPr>
        <w:t>Собственные cookies устанавливаются доменом PROMTA.PRO. Сторонние cookies могут устанавливаться подключённым сервисом аналитики, платёжным, коммуникационным или иным провайдером, если его элементы загружаются на странице.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4.2. </w:t>
      </w:r>
      <w:r>
        <w:rPr>
          <w:rFonts w:ascii="Calibri" w:hAnsi="Calibri" w:eastAsia="Calibri"/>
          <w:color w:val="1F1F1F"/>
          <w:sz w:val="22"/>
        </w:rPr>
        <w:t>Актуальный перечень конкретных cookies, провайдеров, доменов, целей и сроков должен отображаться в панели «Настройки cookies» на Сайте. Этот перечень имеет приоритет для технических характеристик конкретного cookie, а настоящая Политика — для общих правил обработки.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4.3. </w:t>
      </w:r>
      <w:r>
        <w:rPr>
          <w:rFonts w:ascii="Calibri" w:hAnsi="Calibri" w:eastAsia="Calibri"/>
          <w:color w:val="1F1F1F"/>
          <w:sz w:val="22"/>
        </w:rPr>
        <w:t>Оператор не должен подключать новый необязательный сервис до внесения его cookies и получателей данных в технический реестр, настройки выбора и, когда необходимо, документы о персональных данных.</w:t>
      </w:r>
    </w:p>
    <w:p>
      <w:pPr>
        <w:pStyle w:val="Heading1"/>
      </w:pPr>
      <w:r>
        <w:t>5. Согласие и управление выбором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5.1. </w:t>
      </w:r>
      <w:r>
        <w:rPr>
          <w:rFonts w:ascii="Calibri" w:hAnsi="Calibri" w:eastAsia="Calibri"/>
          <w:color w:val="1F1F1F"/>
          <w:sz w:val="22"/>
        </w:rPr>
        <w:t>При первом посещении пользователю показывается уведомление с возможностью принять все необязательные категории, отклонить их либо перейти к детальной настройке. Необязательные переключатели по умолчанию выключены.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5.2. </w:t>
      </w:r>
      <w:r>
        <w:rPr>
          <w:rFonts w:ascii="Calibri" w:hAnsi="Calibri" w:eastAsia="Calibri"/>
          <w:color w:val="1F1F1F"/>
          <w:sz w:val="22"/>
        </w:rPr>
        <w:t>Выбор фиксируется технически: сохраняются дата и время, версия настроек, выбранные категории и идентификатор устройства или сеанса. Строго необходимые cookies могут сохранить сам выбор, чтобы баннер не показывался при каждом переходе.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5.3. </w:t>
      </w:r>
      <w:r>
        <w:rPr>
          <w:rFonts w:ascii="Calibri" w:hAnsi="Calibri" w:eastAsia="Calibri"/>
          <w:color w:val="1F1F1F"/>
          <w:sz w:val="22"/>
        </w:rPr>
        <w:t>Пользователь может в любое время изменить или отозвать выбор через ссылку «Настройки cookies» в подвале Сайта. После отзыва новые необязательные cookies не устанавливаются, а ранее сохранённые удаляются Сайтом в доступной ему части; пользователь также может удалить их в браузере.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5.4. </w:t>
      </w:r>
      <w:r>
        <w:rPr>
          <w:rFonts w:ascii="Calibri" w:hAnsi="Calibri" w:eastAsia="Calibri"/>
          <w:color w:val="1F1F1F"/>
          <w:sz w:val="22"/>
        </w:rPr>
        <w:t>Отказ от необязательных cookies не ограничивает основную возможность просматривать каталог, регистрироваться и оформлять заказ, но отдельные предпочтения или персонализированные функции могут быть недоступны.</w:t>
      </w:r>
    </w:p>
    <w:p>
      <w:pPr>
        <w:pStyle w:val="Heading1"/>
      </w:pPr>
      <w:r>
        <w:t>6. Сроки хранения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6.1. </w:t>
      </w:r>
      <w:r>
        <w:rPr>
          <w:rFonts w:ascii="Calibri" w:hAnsi="Calibri" w:eastAsia="Calibri"/>
          <w:color w:val="1F1F1F"/>
          <w:sz w:val="22"/>
        </w:rPr>
        <w:t>Сессионные cookies удаляются после закрытия браузера или завершения сеанса. Постоянные cookies хранятся до указанной для них даты, удаления пользователем, отзыва согласия или изменения настроек.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6.2. </w:t>
      </w:r>
      <w:r>
        <w:rPr>
          <w:rFonts w:ascii="Calibri" w:hAnsi="Calibri" w:eastAsia="Calibri"/>
          <w:color w:val="1F1F1F"/>
          <w:sz w:val="22"/>
        </w:rPr>
        <w:t>Конкретный срок каждого cookie указывается в панели настроек. Оператор устанавливает срок по принципу минимальной достаточности и периодически пересматривает необходимость сохранения.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6.3. </w:t>
      </w:r>
      <w:r>
        <w:rPr>
          <w:rFonts w:ascii="Calibri" w:hAnsi="Calibri" w:eastAsia="Calibri"/>
          <w:color w:val="1F1F1F"/>
          <w:sz w:val="22"/>
        </w:rPr>
        <w:t>Серверные журналы, сформированные на основании обращений к Сайту, могут храниться отдельно от cookie в течение срока, необходимого для безопасности, расследования инцидентов и исполнения требований закона.</w:t>
      </w:r>
    </w:p>
    <w:p>
      <w:pPr>
        <w:pStyle w:val="Heading1"/>
      </w:pPr>
      <w:r>
        <w:t>7. Передача, локализация и защита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7.1. </w:t>
      </w:r>
      <w:r>
        <w:rPr>
          <w:rFonts w:ascii="Calibri" w:hAnsi="Calibri" w:eastAsia="Calibri"/>
          <w:color w:val="1F1F1F"/>
          <w:sz w:val="22"/>
        </w:rPr>
        <w:t>Доступ к данным cookies могут получать подрядчики Оператора, обеспечивающие хостинг, защиту, техническую поддержку и аналитику, только в объёме, необходимом для соответствующей функции и на основании договора.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7.2. </w:t>
      </w:r>
      <w:r>
        <w:rPr>
          <w:rFonts w:ascii="Calibri" w:hAnsi="Calibri" w:eastAsia="Calibri"/>
          <w:color w:val="1F1F1F"/>
          <w:sz w:val="22"/>
        </w:rPr>
        <w:t>Сторонний провайдер может выступать самостоятельным оператором в отношении своих идентификаторов. Ссылка на его документ о конфиденциальности должна быть доступна в панели настроек до согласия пользователя.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7.3. </w:t>
      </w:r>
      <w:r>
        <w:rPr>
          <w:rFonts w:ascii="Calibri" w:hAnsi="Calibri" w:eastAsia="Calibri"/>
          <w:color w:val="1F1F1F"/>
          <w:sz w:val="22"/>
        </w:rPr>
        <w:t>Для данных граждан Российской Федерации применяются требования о локализации баз данных. Сервис, предполагающий трансграничную передачу, подключается только после выполнения требований статьи 12 Федерального закона № 152-ФЗ и обновления информации для пользователя.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7.4. </w:t>
      </w:r>
      <w:r>
        <w:rPr>
          <w:rFonts w:ascii="Calibri" w:hAnsi="Calibri" w:eastAsia="Calibri"/>
          <w:color w:val="1F1F1F"/>
          <w:sz w:val="22"/>
        </w:rPr>
        <w:t>Оператор применяет разграничение доступа, защищённую передачу данных, журналы событий, обновление программного обеспечения и иные меры, соразмерные рискам.</w:t>
      </w:r>
    </w:p>
    <w:p>
      <w:pPr>
        <w:pStyle w:val="Heading1"/>
      </w:pPr>
      <w:r>
        <w:t>8. Настройки браузера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8.1. </w:t>
      </w:r>
      <w:r>
        <w:rPr>
          <w:rFonts w:ascii="Calibri" w:hAnsi="Calibri" w:eastAsia="Calibri"/>
          <w:color w:val="1F1F1F"/>
          <w:sz w:val="22"/>
        </w:rPr>
        <w:t>Большинство браузеров позволяет просматривать, блокировать и удалять cookies, запрещать сторонние cookies и удалять данные при закрытии. Порядок зависит от браузера и устройства.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8.2. </w:t>
      </w:r>
      <w:r>
        <w:rPr>
          <w:rFonts w:ascii="Calibri" w:hAnsi="Calibri" w:eastAsia="Calibri"/>
          <w:color w:val="1F1F1F"/>
          <w:sz w:val="22"/>
        </w:rPr>
        <w:t>Полная блокировка cookies может привести к потере корзины, выходу из личного кабинета, невозможности сохранить настройки или корректно оформить заказ.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8.3. </w:t>
      </w:r>
      <w:r>
        <w:rPr>
          <w:rFonts w:ascii="Calibri" w:hAnsi="Calibri" w:eastAsia="Calibri"/>
          <w:color w:val="1F1F1F"/>
          <w:sz w:val="22"/>
        </w:rPr>
        <w:t>Настройки браузера дополняют, но не заменяют панель выбора PROMTA.PRO: браузер может удалить cookie, однако сохранённая на стороне сервера запись о ранее совершённом выборе хранится в пределах законного срока для подтверждения согласия.</w:t>
      </w:r>
    </w:p>
    <w:p>
      <w:pPr>
        <w:pStyle w:val="Heading1"/>
      </w:pPr>
      <w:r>
        <w:t>9. Изменения и контакты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9.1. </w:t>
      </w:r>
      <w:r>
        <w:rPr>
          <w:rFonts w:ascii="Calibri" w:hAnsi="Calibri" w:eastAsia="Calibri"/>
          <w:color w:val="1F1F1F"/>
          <w:sz w:val="22"/>
        </w:rPr>
        <w:t>Политика обновляется при изменении состава cookies, провайдеров, целей или закона. Дата новой редакции указывается в начале документа.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9.2. </w:t>
      </w:r>
      <w:r>
        <w:rPr>
          <w:rFonts w:ascii="Calibri" w:hAnsi="Calibri" w:eastAsia="Calibri"/>
          <w:color w:val="1F1F1F"/>
          <w:sz w:val="22"/>
        </w:rPr>
        <w:t>Вопросы и требования можно направить на pt24@pt24.ru либо по адресу: 124482, Российская Федерация, г. Москва, внутригородская территория муниципальный округ Савёлки, г. Зеленоград, корп. 317А, стр. 1, помещ. 8Н. Телефон: +7 (499) 350-18-19.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9.3. </w:t>
      </w:r>
      <w:r>
        <w:rPr>
          <w:rFonts w:ascii="Calibri" w:hAnsi="Calibri" w:eastAsia="Calibri"/>
          <w:color w:val="1F1F1F"/>
          <w:sz w:val="22"/>
        </w:rPr>
        <w:t>Если изменение касается необязательной цели или нового получателя и требует нового согласия, соответствующие cookies не активируются до получения такого согласия.</w:t>
      </w:r>
    </w:p>
    <w:p>
      <w:pPr>
        <w:pStyle w:val="Heading1"/>
      </w:pPr>
      <w:r>
        <w:t>10. Карточка технического реестра cookies</w:t>
      </w:r>
    </w:p>
    <w:p>
      <w:pPr>
        <w:pStyle w:val="Clause"/>
        <w:keepLines/>
        <w:widowControl/>
      </w:pPr>
      <w:r>
        <w:rPr>
          <w:rFonts w:ascii="Calibri" w:hAnsi="Calibri" w:eastAsia="Calibri"/>
          <w:color w:val="1F1F1F"/>
          <w:sz w:val="22"/>
        </w:rPr>
        <w:t>Перед публикацией и при каждом изменении сайта администратор должен заполнить в панели cookies сведения по следующей схеме. Этот раздел задаёт обязательный состав технического реестра, но не заменяет фактический список на Сайте.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6560"/>
      </w:tblGrid>
      <w:tr>
        <w:trPr>
          <w:tblHeader w:val="true"/>
        </w:trPr>
        <w:tc>
          <w:tcPr>
            <w:tcW w:type="dxa" w:w="2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Поле реестра</w:t>
            </w:r>
          </w:p>
        </w:tc>
        <w:tc>
          <w:tcPr>
            <w:tcW w:type="dxa" w:w="65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Что должно быть указано</w:t>
            </w:r>
          </w:p>
        </w:tc>
      </w:tr>
      <w:tr>
        <w:trPr>
          <w:cantSplit w:val="true"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Название и домен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Точное имя cookie / local storage key и домен установки.</w:t>
            </w:r>
          </w:p>
        </w:tc>
      </w:tr>
      <w:tr>
        <w:trPr>
          <w:cantSplit w:val="true"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Провайдер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Юридическое лицо или собственный сервис Оператора.</w:t>
            </w:r>
          </w:p>
        </w:tc>
      </w:tr>
      <w:tr>
        <w:trPr>
          <w:cantSplit w:val="true"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Категория и цель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Строго необходимый / функциональный / аналитический / рекламный; конкретная функция.</w:t>
            </w:r>
          </w:p>
        </w:tc>
      </w:tr>
      <w:tr>
        <w:trPr>
          <w:cantSplit w:val="true"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Данные и получатели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Какие идентификаторы и события передаются и кому.</w:t>
            </w:r>
          </w:p>
        </w:tc>
      </w:tr>
      <w:tr>
        <w:trPr>
          <w:cantSplit w:val="true"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Срок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Сессионный либо точное время жизни.</w:t>
            </w:r>
          </w:p>
        </w:tc>
      </w:tr>
      <w:tr>
        <w:trPr>
          <w:cantSplit w:val="true"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Трансграничная передача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Страна, получатель и выполненные юридические условия либо отметка «нет».</w:t>
            </w:r>
          </w:p>
        </w:tc>
      </w:tr>
    </w:tbl>
    <w:p>
      <w:pPr>
        <w:spacing w:before="80" w:after="0"/>
      </w:pPr>
    </w:p>
    <w:p>
      <w:pPr>
        <w:pStyle w:val="Heading1"/>
      </w:pPr>
      <w:r>
        <w:t>11. Реквизиты Оператора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Реквизит</w:t>
            </w:r>
          </w:p>
        </w:tc>
        <w:tc>
          <w:tcPr>
            <w:tcW w:type="dxa" w:w="6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Сведения</w:t>
            </w:r>
          </w:p>
        </w:tc>
      </w:tr>
      <w:tr>
        <w:trPr>
          <w:cantSplit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Оператор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Общество с ограниченной ответственностью «Пищевые технологии»</w:t>
            </w:r>
          </w:p>
        </w:tc>
      </w:tr>
      <w:tr>
        <w:trPr>
          <w:cantSplit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Сокращённое наименование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ООО «Пищевые технологии»</w:t>
            </w:r>
          </w:p>
        </w:tc>
      </w:tr>
      <w:tr>
        <w:trPr>
          <w:cantSplit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ОГРН / ИНН / КПП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1087746287221 / 7735538310 / 773501001</w:t>
            </w:r>
          </w:p>
        </w:tc>
      </w:tr>
      <w:tr>
        <w:trPr>
          <w:cantSplit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Юридический адрес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124482, Российская Федерация, г. Москва, внутригородская территория муниципальный округ Савёлки, г. Зеленоград, корп. 317А, стр. 1, помещ. 8Н</w:t>
            </w:r>
          </w:p>
        </w:tc>
      </w:tr>
      <w:tr>
        <w:trPr>
          <w:cantSplit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Электронная почта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pt24@pt24.ru</w:t>
            </w:r>
          </w:p>
        </w:tc>
      </w:tr>
      <w:tr>
        <w:trPr>
          <w:cantSplit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Телефон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+7 (499) 350-18-19</w:t>
            </w:r>
          </w:p>
        </w:tc>
      </w:tr>
      <w:tr>
        <w:trPr>
          <w:cantSplit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Сайт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https://promta.pro</w:t>
            </w:r>
          </w:p>
        </w:tc>
      </w:tr>
    </w:tbl>
    <w:p>
      <w:pPr>
        <w:spacing w:before="80" w:after="0"/>
      </w:pPr>
    </w:p>
    <w:sectPr w:rsidR="00FC693F" w:rsidRPr="0006063C" w:rsidSect="00034616">
      <w:headerReference w:type="default" r:id="rId9"/>
      <w:headerReference w:type="even" r:id="rId10"/>
      <w:footerReference w:type="default" r:id="rId11"/>
      <w:footerReference w:type="even" r:id="rId12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/>
    <w:r>
      <w:rPr>
        <w:rFonts w:ascii="Calibri" w:hAnsi="Calibri" w:eastAsia="Calibri"/>
        <w:color w:val="666666"/>
        <w:sz w:val="18"/>
      </w:rPr>
      <w:t xml:space="preserve">Страница </w:t>
      <w:fldChar w:fldCharType="begin"/>
      <w:instrText xml:space="preserve"> PAGE </w:instrText>
      <w:fldChar w:fldCharType="separate"/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/>
    <w:r>
      <w:rPr>
        <w:rFonts w:ascii="Calibri" w:hAnsi="Calibri" w:eastAsia="Calibri"/>
        <w:color w:val="666666"/>
        <w:sz w:val="18"/>
      </w:rPr>
      <w:t xml:space="preserve">Страница </w:t>
      <w:fldChar w:fldCharType="begin"/>
      <w:instrText xml:space="preserve"> PAGE 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  <w:r>
      <w:rPr>
        <w:rFonts w:ascii="Calibri" w:hAnsi="Calibri" w:eastAsia="Calibri"/>
        <w:b/>
        <w:color w:val="666666"/>
        <w:sz w:val="18"/>
      </w:rPr>
      <w:t>PROMTA.PRO  |  Политика использования cookies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  <w:r>
      <w:rPr>
        <w:rFonts w:ascii="Calibri" w:hAnsi="Calibri" w:eastAsia="Calibri"/>
        <w:b/>
        <w:color w:val="666666"/>
        <w:sz w:val="18"/>
      </w:rPr>
      <w:t>PROMTA.PRO  |  Политика использования cookies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64" w:lineRule="auto"/>
      <w:jc w:val="left"/>
    </w:pPr>
    <w:rPr>
      <w:rFonts w:ascii="Calibri" w:hAnsi="Calibri" w:eastAsia="Calibri"/>
      <w:color w:val="1F1F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20" w:after="16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40" w:after="12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60" w:after="8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">
    <w:name w:val="Clause"/>
    <w:basedOn w:val="Normal"/>
    <w:pPr>
      <w:widowControl/>
      <w:spacing w:after="120" w:line="264" w:lineRule="auto"/>
    </w:pPr>
  </w:style>
  <w:style w:type="paragraph" w:customStyle="1" w:styleId="LegalNote">
    <w:name w:val="Legal Note"/>
    <w:basedOn w:val="Normal"/>
    <w:pPr>
      <w:widowControl/>
      <w:spacing w:before="80" w:after="160" w:line="252" w:lineRule="auto"/>
    </w:pPr>
    <w:rPr>
      <w:color w:val="666666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cookies PROMTA.PRO редакция 1.0</dc:title>
  <dc:subject>Документы PROMTA.PRO по обработке персональных данных</dc:subject>
  <dc:creator>ООО «Пищевые технологии»</dc:creator>
  <cp:keywords>PROMTA.PRO, персональные данные, конфиденциальность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