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360" w:after="80"/>
        <w:jc w:val="center"/>
      </w:pPr>
      <w:r>
        <w:rPr>
          <w:rFonts w:ascii="Calibri" w:hAnsi="Calibri" w:eastAsia="Calibri"/>
          <w:b/>
          <w:color w:val="000000"/>
          <w:sz w:val="44"/>
        </w:rPr>
        <w:t>СОГЛАСИЕ НА ОБРАБОТКУ ПЕРСОНАЛЬНЫХ ДАННЫХ</w:t>
      </w:r>
    </w:p>
    <w:p>
      <w:pPr>
        <w:keepNext/>
        <w:spacing w:after="80"/>
        <w:jc w:val="center"/>
      </w:pPr>
      <w:r>
        <w:rPr>
          <w:rFonts w:ascii="Calibri" w:hAnsi="Calibri" w:eastAsia="Calibri"/>
          <w:b/>
          <w:color w:val="1F4D78"/>
          <w:sz w:val="23"/>
        </w:rPr>
        <w:t>пользователя маркетплейса PROMTA.PRO</w:t>
      </w:r>
    </w:p>
    <w:p>
      <w:pPr>
        <w:spacing w:after="240"/>
        <w:jc w:val="center"/>
      </w:pPr>
      <w:r>
        <w:rPr>
          <w:rFonts w:ascii="Calibri" w:hAnsi="Calibri" w:eastAsia="Calibri"/>
          <w:color w:val="666666"/>
          <w:sz w:val="19"/>
        </w:rPr>
        <w:t>Редакция 1.0  |  действует с 08 сентября 2026 года</w:t>
      </w:r>
    </w:p>
    <w:p>
      <w:pPr>
        <w:pStyle w:val="Clause"/>
        <w:spacing w:before="80" w:after="160" w:line="264" w:lineRule="auto"/>
        <w:ind w:left="173" w:right="173"/>
        <w:shd w:fill="F4F6F9"/>
        <w:keepLines/>
        <w:widowControl/>
        <w:pBdr>
          <w:left w:val="single" w:sz="16" w:space="6" w:color="2E74B5"/>
        </w:pBdr>
      </w:pPr>
      <w:r>
        <w:rPr>
          <w:rFonts w:ascii="Calibri" w:hAnsi="Calibri" w:eastAsia="Calibri"/>
          <w:b/>
          <w:color w:val="1F4D78"/>
          <w:sz w:val="22"/>
        </w:rPr>
        <w:t xml:space="preserve">Отдельное волеизъявление. </w:t>
      </w:r>
      <w:r>
        <w:rPr>
          <w:rFonts w:ascii="Calibri" w:hAnsi="Calibri" w:eastAsia="Calibri"/>
          <w:color w:val="1F1F1F"/>
          <w:sz w:val="22"/>
        </w:rPr>
        <w:t>Согласие подтверждается отдельной, заранее не отмеченной галочкой. Оно не объединяется с принятием Пользовательского соглашения, оферты, Политики или согласием на рекламу.</w:t>
      </w:r>
    </w:p>
    <w:p>
      <w:pPr>
        <w:pStyle w:val="Heading1"/>
      </w:pPr>
      <w:r>
        <w:t>1. Субъект и Оператор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1.1. </w:t>
      </w:r>
      <w:r>
        <w:rPr>
          <w:rFonts w:ascii="Calibri" w:hAnsi="Calibri" w:eastAsia="Calibri"/>
          <w:color w:val="1F1F1F"/>
          <w:sz w:val="22"/>
        </w:rPr>
        <w:t>Я, пользователь сайта https://promta.pro (далее — «Субъект»), свободно, своей волей и в своём интересе даю ООО «Пищевые технологии», ОГРН 1087746287221, ИНН 7735538310, адрес: 124482, Российская Федерация, г. Москва, внутригородская территория муниципальный округ Савёлки, г. Зеленоград, корп. 317А, стр. 1, помещ. 8Н (далее — «Оператор»), настоящее согласие в части обработки, для которой согласие является необходимым правовым основанием.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1.2. </w:t>
      </w:r>
      <w:r>
        <w:rPr>
          <w:rFonts w:ascii="Calibri" w:hAnsi="Calibri" w:eastAsia="Calibri"/>
          <w:color w:val="1F1F1F"/>
          <w:sz w:val="22"/>
        </w:rPr>
        <w:t>Если я действую от имени организации, индивидуального предпринимателя или другого физического лица, я подтверждаю наличие полномочий на предоставление соответствующих данных и совершение действий на Сайте.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1.3. </w:t>
      </w:r>
      <w:r>
        <w:rPr>
          <w:rFonts w:ascii="Calibri" w:hAnsi="Calibri" w:eastAsia="Calibri"/>
          <w:color w:val="1F1F1F"/>
          <w:sz w:val="22"/>
        </w:rPr>
        <w:t>Сведения, позволяющие связать согласие с Субъектом, определяются данными заполненной формы, учётной записи, заказа и технической записью о предоставлении согласия.</w:t>
      </w:r>
    </w:p>
    <w:p>
      <w:pPr>
        <w:pStyle w:val="Heading1"/>
      </w:pPr>
      <w:r>
        <w:t>2. Цели согласия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2.1. </w:t>
      </w:r>
      <w:r>
        <w:rPr>
          <w:rFonts w:ascii="Calibri" w:hAnsi="Calibri" w:eastAsia="Calibri"/>
          <w:color w:val="1F1F1F"/>
          <w:sz w:val="22"/>
        </w:rPr>
        <w:t>Регистрация и сопровождение учётной записи; аутентификация; предоставление доступа к функциям Сайта.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2.2. </w:t>
      </w:r>
      <w:r>
        <w:rPr>
          <w:rFonts w:ascii="Calibri" w:hAnsi="Calibri" w:eastAsia="Calibri"/>
          <w:color w:val="1F1F1F"/>
          <w:sz w:val="22"/>
        </w:rPr>
        <w:t>Оформление, подтверждение и исполнение заказа; взаимодействие с поставщиком; организация оплаты, доставки, монтажа, пусконаладки, возврата и гарантийного обслуживания.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2.3. </w:t>
      </w:r>
      <w:r>
        <w:rPr>
          <w:rFonts w:ascii="Calibri" w:hAnsi="Calibri" w:eastAsia="Calibri"/>
          <w:color w:val="1F1F1F"/>
          <w:sz w:val="22"/>
        </w:rPr>
        <w:t>Обработка обращений, обратной связи и претензий; контроль качества; предотвращение мошенничества и обеспечение безопасности Сайта.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2.4. </w:t>
      </w:r>
      <w:r>
        <w:rPr>
          <w:rFonts w:ascii="Calibri" w:hAnsi="Calibri" w:eastAsia="Calibri"/>
          <w:color w:val="1F1F1F"/>
          <w:sz w:val="22"/>
        </w:rPr>
        <w:t>Исполнение требований бухгалтерского, налогового, кассового и иного применимого законодательства, а также установление, осуществление и защита прав Оператора и участников сделки.</w:t>
      </w:r>
    </w:p>
    <w:p>
      <w:pPr>
        <w:pStyle w:val="Heading1"/>
      </w:pPr>
      <w:r>
        <w:t>3. Перечень персональных данных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3.1. </w:t>
      </w:r>
      <w:r>
        <w:rPr>
          <w:rFonts w:ascii="Calibri" w:hAnsi="Calibri" w:eastAsia="Calibri"/>
          <w:color w:val="1F1F1F"/>
          <w:sz w:val="22"/>
        </w:rPr>
        <w:t>Фамилия, имя, отчество; номер телефона; адрес электронной почты; логин или идентификатор учётной записи.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3.2. </w:t>
      </w:r>
      <w:r>
        <w:rPr>
          <w:rFonts w:ascii="Calibri" w:hAnsi="Calibri" w:eastAsia="Calibri"/>
          <w:color w:val="1F1F1F"/>
          <w:sz w:val="22"/>
        </w:rPr>
        <w:t>Наименование организации, должность, сведения о статусе индивидуального предпринимателя, реквизиты и сведения о полномочиях — если они указаны либо необходимы для сделки.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3.3. </w:t>
      </w:r>
      <w:r>
        <w:rPr>
          <w:rFonts w:ascii="Calibri" w:hAnsi="Calibri" w:eastAsia="Calibri"/>
          <w:color w:val="1F1F1F"/>
          <w:sz w:val="22"/>
        </w:rPr>
        <w:t>Адрес и условия доставки; сведения о получателе; состав, стоимость и история заказа; сведения о доставке, приёмке, возврате, гарантии и претензии.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3.4. </w:t>
      </w:r>
      <w:r>
        <w:rPr>
          <w:rFonts w:ascii="Calibri" w:hAnsi="Calibri" w:eastAsia="Calibri"/>
          <w:color w:val="1F1F1F"/>
          <w:sz w:val="22"/>
        </w:rPr>
        <w:t>Сумма, дата, способ, идентификатор и статус платежа; сведения, необходимые для возврата. Полные данные банковской карты, CVC/CVV и платёжный пароль Оператору не передаются, если оплата проходит на форме платёжного оператора.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3.5. </w:t>
      </w:r>
      <w:r>
        <w:rPr>
          <w:rFonts w:ascii="Calibri" w:hAnsi="Calibri" w:eastAsia="Calibri"/>
          <w:color w:val="1F1F1F"/>
          <w:sz w:val="22"/>
        </w:rPr>
        <w:t>Переписка, обращения, приложенные пользователем документы и иные сведения, которые пользователь сознательно сообщает в связи с заказом или обращением.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3.6. </w:t>
      </w:r>
      <w:r>
        <w:rPr>
          <w:rFonts w:ascii="Calibri" w:hAnsi="Calibri" w:eastAsia="Calibri"/>
          <w:color w:val="1F1F1F"/>
          <w:sz w:val="22"/>
        </w:rPr>
        <w:t>IP-адрес, сведения о браузере и устройстве, дата и время действий, журналы авторизации, технические идентификаторы и строго необходимые cookies.</w:t>
      </w:r>
    </w:p>
    <w:p>
      <w:pPr>
        <w:pStyle w:val="Clause"/>
        <w:spacing w:before="80" w:after="160" w:line="264" w:lineRule="auto"/>
        <w:ind w:left="173" w:right="173"/>
        <w:shd w:fill="F4F6F9"/>
        <w:keepLines/>
        <w:widowControl/>
        <w:pBdr>
          <w:left w:val="single" w:sz="16" w:space="6" w:color="2E74B5"/>
        </w:pBdr>
      </w:pPr>
      <w:r>
        <w:rPr>
          <w:rFonts w:ascii="Calibri" w:hAnsi="Calibri" w:eastAsia="Calibri"/>
          <w:b/>
          <w:color w:val="1F4D78"/>
          <w:sz w:val="22"/>
        </w:rPr>
        <w:t xml:space="preserve">Не входят в согласие. </w:t>
      </w:r>
      <w:r>
        <w:rPr>
          <w:rFonts w:ascii="Calibri" w:hAnsi="Calibri" w:eastAsia="Calibri"/>
          <w:color w:val="1F1F1F"/>
          <w:sz w:val="22"/>
        </w:rPr>
        <w:t>Специальные категории и биометрические данные, данные для распространения неопределённому кругу лиц, рекламные рассылки и трансграничная передача. Для них при необходимости оформляется самостоятельное основание и отдельное согласие установленной формы.</w:t>
      </w:r>
    </w:p>
    <w:p>
      <w:pPr>
        <w:pStyle w:val="Heading1"/>
      </w:pPr>
      <w:r>
        <w:t>4. Действия и способы обработки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4.1. </w:t>
      </w:r>
      <w:r>
        <w:rPr>
          <w:rFonts w:ascii="Calibri" w:hAnsi="Calibri" w:eastAsia="Calibri"/>
          <w:color w:val="1F1F1F"/>
          <w:sz w:val="22"/>
        </w:rPr>
        <w:t>Оператор вправе осуществлять сбор, запись, систематизацию, накопление, хранение, уточнение, извлечение, использование, передачу указанным в разделе 5 получателям, обезличивание, блокирование, удаление и уничтожение данных.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4.2. </w:t>
      </w:r>
      <w:r>
        <w:rPr>
          <w:rFonts w:ascii="Calibri" w:hAnsi="Calibri" w:eastAsia="Calibri"/>
          <w:color w:val="1F1F1F"/>
          <w:sz w:val="22"/>
        </w:rPr>
        <w:t>Обработка осуществляется как с использованием средств автоматизации, включая информационные системы и личный кабинет, так и без их использования.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4.3. </w:t>
      </w:r>
      <w:r>
        <w:rPr>
          <w:rFonts w:ascii="Calibri" w:hAnsi="Calibri" w:eastAsia="Calibri"/>
          <w:color w:val="1F1F1F"/>
          <w:sz w:val="22"/>
        </w:rPr>
        <w:t>Оператор вправе поручить обработку подрядчику по договору, который определяет перечень данных, операции, цели, требования конфиденциальности, безопасности и обязанности по закону.</w:t>
      </w:r>
    </w:p>
    <w:p>
      <w:pPr>
        <w:pStyle w:val="Heading1"/>
      </w:pPr>
      <w:r>
        <w:t>5. Получатели персональных данных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200"/>
        <w:gridCol w:w="6160"/>
      </w:tblGrid>
      <w:tr>
        <w:trPr>
          <w:tblHeader w:val="true"/>
        </w:trPr>
        <w:tc>
          <w:tcPr>
            <w:tcW w:type="dxa" w:w="3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Получатель / категория</w:t>
            </w:r>
          </w:p>
        </w:tc>
        <w:tc>
          <w:tcPr>
            <w:tcW w:type="dxa" w:w="61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Объём и цель</w:t>
            </w:r>
          </w:p>
        </w:tc>
      </w:tr>
      <w:tr>
        <w:trPr>
          <w:cantSplit w:val="true"/>
        </w:trP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Выбранный поставщик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Данные соответствующего заказа, контакты покупателя/получателя, доставка, приёмка, гарантия и возврат.</w:t>
            </w:r>
          </w:p>
        </w:tc>
      </w:tr>
      <w:tr>
        <w:trPr>
          <w:cantSplit w:val="true"/>
        </w:trP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Перевозчик, экспедитор, монтажная или сервисная организация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Минимальные данные, необходимые для доставки, допуска, монтажа, пусконаладки или обслуживания.</w:t>
            </w:r>
          </w:p>
        </w:tc>
      </w:tr>
      <w:tr>
        <w:trPr>
          <w:cantSplit w:val="true"/>
        </w:trP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Банк и платёжный оператор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Данные, необходимые для платежа, идентификации операции, чека и возврата. При выборе ЮKassa — ООО НКО «ЮМани» и участники расчётов в пределах их функций.</w:t>
            </w:r>
          </w:p>
        </w:tc>
      </w:tr>
      <w:tr>
        <w:trPr>
          <w:cantSplit w:val="true"/>
        </w:trP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ИТ-, хостинг- и коммуникационные подрядчики Оператора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Обработка по поручению для эксплуатации, защиты, резервного копирования и поддержки информационных систем.</w:t>
            </w:r>
          </w:p>
        </w:tc>
      </w:tr>
      <w:tr>
        <w:trPr>
          <w:cantSplit w:val="true"/>
        </w:trPr>
        <w:tc>
          <w:tcPr>
            <w:tcW w:type="dxa" w:w="3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Уполномоченные государственные органы и суды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В объёме и случаях, предусмотренных законом или обязательным запросом.</w:t>
            </w:r>
          </w:p>
        </w:tc>
      </w:tr>
    </w:tbl>
    <w:p>
      <w:pPr>
        <w:spacing w:before="80" w:after="0"/>
      </w:pP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5.1. </w:t>
      </w:r>
      <w:r>
        <w:rPr>
          <w:rFonts w:ascii="Calibri" w:hAnsi="Calibri" w:eastAsia="Calibri"/>
          <w:color w:val="1F1F1F"/>
          <w:sz w:val="22"/>
        </w:rPr>
        <w:t>Конкретный поставщик определяется выбранным товаром и указывается в карточке товара, заказе, счёте, договоре либо ином интерфейсе до подтверждения сделки. Если заказ включает товары нескольких поставщиков, каждому передаётся только относящаяся к нему часть заказа.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5.2. </w:t>
      </w:r>
      <w:r>
        <w:rPr>
          <w:rFonts w:ascii="Calibri" w:hAnsi="Calibri" w:eastAsia="Calibri"/>
          <w:color w:val="1F1F1F"/>
          <w:sz w:val="22"/>
        </w:rPr>
        <w:t>Передача осуществляется только для целей настоящего Согласия и не разрешает получателю использовать данные для собственной рекламы без самостоятельного правового основания.</w:t>
      </w:r>
    </w:p>
    <w:p>
      <w:pPr>
        <w:pStyle w:val="Heading1"/>
      </w:pPr>
      <w:r>
        <w:t>6. Срок действия и отзыв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6.1. </w:t>
      </w:r>
      <w:r>
        <w:rPr>
          <w:rFonts w:ascii="Calibri" w:hAnsi="Calibri" w:eastAsia="Calibri"/>
          <w:color w:val="1F1F1F"/>
          <w:sz w:val="22"/>
        </w:rPr>
        <w:t>Согласие действует со дня его предоставления до достижения целей обработки либо до отзыва, в зависимости от того, что наступит раньше, с учётом обязательных сроков хранения, установленных законом и договором.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6.2. </w:t>
      </w:r>
      <w:r>
        <w:rPr>
          <w:rFonts w:ascii="Calibri" w:hAnsi="Calibri" w:eastAsia="Calibri"/>
          <w:color w:val="1F1F1F"/>
          <w:sz w:val="22"/>
        </w:rPr>
        <w:t>Согласие может быть отозвано обращением на pt24@pt24.ru либо по адресу: 124482, Российская Федерация, г. Москва, внутригородская территория муниципальный округ Савёлки, г. Зеленоград, корп. 317А, стр. 1, помещ. 8Н. В обращении следует указать сведения, позволяющие установить заявителя, и описать требование.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6.3. </w:t>
      </w:r>
      <w:r>
        <w:rPr>
          <w:rFonts w:ascii="Calibri" w:hAnsi="Calibri" w:eastAsia="Calibri"/>
          <w:color w:val="1F1F1F"/>
          <w:sz w:val="22"/>
        </w:rPr>
        <w:t>После получения отзыва Оператор прекращает основанную только на согласии обработку и уничтожает данные в срок, установленный законом, если отсутствует другое законное основание. Обработка может продолжаться для исполнения договора, обязательного учёта, рассмотрения претензии, предотвращения злоупотреблений или защиты прав.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6.4. </w:t>
      </w:r>
      <w:r>
        <w:rPr>
          <w:rFonts w:ascii="Calibri" w:hAnsi="Calibri" w:eastAsia="Calibri"/>
          <w:color w:val="1F1F1F"/>
          <w:sz w:val="22"/>
        </w:rPr>
        <w:t>Отзыв может повлечь невозможность предоставить функцию, для которой соответствующие данные объективно необходимы, но не влияет на законность обработки до отзыва.</w:t>
      </w:r>
    </w:p>
    <w:p>
      <w:pPr>
        <w:pStyle w:val="Heading1"/>
      </w:pPr>
      <w:r>
        <w:t>7. Электронное подтверждение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7.1. </w:t>
      </w:r>
      <w:r>
        <w:rPr>
          <w:rFonts w:ascii="Calibri" w:hAnsi="Calibri" w:eastAsia="Calibri"/>
          <w:color w:val="1F1F1F"/>
          <w:sz w:val="22"/>
        </w:rPr>
        <w:t>Согласие предоставляется активным действием: установкой отдельной, заранее не отмеченной галочки под настоящим текстом или нажатием отдельной кнопки с однозначной подписью.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7.2. </w:t>
      </w:r>
      <w:r>
        <w:rPr>
          <w:rFonts w:ascii="Calibri" w:hAnsi="Calibri" w:eastAsia="Calibri"/>
          <w:color w:val="1F1F1F"/>
          <w:sz w:val="22"/>
        </w:rPr>
        <w:t>Оператор фиксирует дату и время, версию Согласия, идентификатор учётной записи или формы, IP-адрес и технические сведения о событии. Такая запись используется для подтверждения факта получения согласия.</w:t>
      </w:r>
    </w:p>
    <w:p>
      <w:pPr>
        <w:pStyle w:val="Clause"/>
        <w:keepLines/>
        <w:widowControl/>
      </w:pPr>
      <w:r>
        <w:rPr>
          <w:rFonts w:ascii="Calibri" w:hAnsi="Calibri" w:eastAsia="Calibri"/>
          <w:b/>
          <w:color w:val="1F1F1F"/>
          <w:sz w:val="22"/>
        </w:rPr>
        <w:t xml:space="preserve">7.3. </w:t>
      </w:r>
      <w:r>
        <w:rPr>
          <w:rFonts w:ascii="Calibri" w:hAnsi="Calibri" w:eastAsia="Calibri"/>
          <w:color w:val="1F1F1F"/>
          <w:sz w:val="22"/>
        </w:rPr>
        <w:t>Политика обработки персональных данных доступна для ознакомления до предоставления Согласия, но её принятие не заменяет отдельное волеизъявление Субъекта.</w:t>
      </w:r>
    </w:p>
    <w:p>
      <w:pPr>
        <w:pStyle w:val="Heading1"/>
      </w:pPr>
      <w:r>
        <w:t>8. Текст отдельного чекбокса</w:t>
      </w:r>
    </w:p>
    <w:p>
      <w:pPr>
        <w:pStyle w:val="Clause"/>
        <w:spacing w:before="80" w:after="160" w:line="264" w:lineRule="auto"/>
        <w:ind w:left="173" w:right="173"/>
        <w:shd w:fill="F4F6F9"/>
        <w:keepLines/>
        <w:widowControl/>
        <w:pBdr>
          <w:left w:val="single" w:sz="16" w:space="6" w:color="2E74B5"/>
        </w:pBdr>
      </w:pPr>
      <w:r>
        <w:rPr>
          <w:rFonts w:ascii="Calibri" w:hAnsi="Calibri" w:eastAsia="Calibri"/>
          <w:b/>
          <w:color w:val="1F4D78"/>
          <w:sz w:val="22"/>
        </w:rPr>
        <w:t xml:space="preserve">Рекомендуемая формулировка. </w:t>
      </w:r>
      <w:r>
        <w:rPr>
          <w:rFonts w:ascii="Calibri" w:hAnsi="Calibri" w:eastAsia="Calibri"/>
          <w:color w:val="1F1F1F"/>
          <w:sz w:val="22"/>
        </w:rPr>
        <w:t>«Я даю ООО «Пищевые технологии» согласие на обработку моих персональных данных на условиях отдельного Согласия на обработку персональных данных PROMTA.PRO».</w:t>
      </w:r>
    </w:p>
    <w:p>
      <w:pPr>
        <w:pStyle w:val="LegalNote"/>
        <w:keepLines/>
        <w:widowControl/>
      </w:pPr>
      <w:r>
        <w:rPr>
          <w:rFonts w:ascii="Calibri" w:hAnsi="Calibri" w:eastAsia="Calibri"/>
          <w:color w:val="666666"/>
          <w:sz w:val="19"/>
        </w:rPr>
        <w:t>Рядом с чекбоксом должна быть прямая ссылка на полный текст этого Согласия. Чекбокс не должен быть отмечен заранее и не должен одновременно подтверждать Пользовательское соглашение, рекламную рассылку или Политику cookies.</w:t>
      </w:r>
    </w:p>
    <w:p>
      <w:pPr>
        <w:pStyle w:val="Heading1"/>
      </w:pPr>
      <w:r>
        <w:t>9. Реквизиты Оператора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Реквизит</w:t>
            </w:r>
          </w:p>
        </w:tc>
        <w:tc>
          <w:tcPr>
            <w:tcW w:type="dxa" w:w="6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Сведения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Оператор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Общество с ограниченной ответственностью «Пищевые технологии»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Сокращённое наименование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ООО «Пищевые технологии»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ОГРН / ИНН / КПП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1087746287221 / 7735538310 / 773501001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Юридический адрес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124482, Российская Федерация, г. Москва, внутригородская территория муниципальный округ Савёлки, г. Зеленоград, корп. 317А, стр. 1, помещ. 8Н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Электронная почта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pt24@pt24.ru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Телефон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+7 (499) 350-18-19</w:t>
            </w:r>
          </w:p>
        </w:tc>
      </w:tr>
      <w:tr>
        <w:trPr>
          <w:cantSplit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Сайт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color w:val="1F1F1F"/>
                <w:sz w:val="18"/>
              </w:rPr>
              <w:t>https://promta.pro</w:t>
            </w:r>
          </w:p>
        </w:tc>
      </w:tr>
    </w:tbl>
    <w:p>
      <w:pPr>
        <w:spacing w:before="80" w:after="0"/>
      </w:pP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 w:eastAsia="Calibri"/>
        <w:color w:val="666666"/>
        <w:sz w:val="18"/>
      </w:rPr>
      <w:t xml:space="preserve">Страница </w:t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Согласие на обработку персональных данных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  <w:r>
      <w:rPr>
        <w:rFonts w:ascii="Calibri" w:hAnsi="Calibri" w:eastAsia="Calibri"/>
        <w:b/>
        <w:color w:val="666666"/>
        <w:sz w:val="18"/>
      </w:rPr>
      <w:t>PROMTA.PRO  |  Согласие на обработку персональных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64" w:lineRule="auto"/>
      <w:jc w:val="left"/>
    </w:pPr>
    <w:rPr>
      <w:rFonts w:ascii="Calibri" w:hAnsi="Calibri" w:eastAsia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al"/>
    <w:pPr>
      <w:widowControl/>
      <w:spacing w:after="120" w:line="264" w:lineRule="auto"/>
    </w:pPr>
  </w:style>
  <w:style w:type="paragraph" w:customStyle="1" w:styleId="LegalNote">
    <w:name w:val="Legal Note"/>
    <w:basedOn w:val="Normal"/>
    <w:pPr>
      <w:widowControl/>
      <w:spacing w:before="80" w:after="160" w:line="252" w:lineRule="auto"/>
    </w:pPr>
    <w:rPr>
      <w:color w:val="66666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PROMTA.PRO редакция 1.0</dc:title>
  <dc:subject>Документы PROMTA.PRO по обработке персональных данных</dc:subject>
  <dc:creator>ООО «Пищевые технологии»</dc:creator>
  <cp:keywords>PROMTA.PRO, персональные данные, конфиденциальность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