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80"/>
        <w:jc w:val="center"/>
      </w:pPr>
      <w:r>
        <w:rPr>
          <w:rFonts w:ascii="Calibri" w:hAnsi="Calibri" w:eastAsia="Calibri"/>
          <w:b/>
          <w:color w:val="000000"/>
          <w:sz w:val="44"/>
        </w:rPr>
        <w:t>ПОЛИТИКА ОБРАБОТКИ ПЕРСОНАЛЬНЫХ ДАННЫХ</w:t>
      </w:r>
    </w:p>
    <w:p>
      <w:pPr>
        <w:keepNext/>
        <w:spacing w:after="80"/>
        <w:jc w:val="center"/>
      </w:pPr>
      <w:r>
        <w:rPr>
          <w:rFonts w:ascii="Calibri" w:hAnsi="Calibri" w:eastAsia="Calibri"/>
          <w:b/>
          <w:color w:val="1F4D78"/>
          <w:sz w:val="23"/>
        </w:rPr>
        <w:t>маркетплейса PROMTA.PRO</w:t>
      </w:r>
    </w:p>
    <w:p>
      <w:pPr>
        <w:spacing w:after="240"/>
        <w:jc w:val="center"/>
      </w:pPr>
      <w:r>
        <w:rPr>
          <w:rFonts w:ascii="Calibri" w:hAnsi="Calibri" w:eastAsia="Calibri"/>
          <w:color w:val="666666"/>
          <w:sz w:val="19"/>
        </w:rPr>
        <w:t>Редакция 1.0  |  действует с 08 сентября 2026 года</w:t>
      </w:r>
    </w:p>
    <w:p>
      <w:pPr>
        <w:pStyle w:val="Clause"/>
        <w:spacing w:before="80" w:after="160" w:line="264" w:lineRule="auto"/>
        <w:ind w:left="173" w:right="173"/>
        <w:shd w:fill="F4F6F9"/>
        <w:keepLines/>
        <w:widowControl/>
        <w:pBdr>
          <w:left w:val="single" w:sz="16" w:space="6" w:color="2E74B5"/>
        </w:pBdr>
      </w:pPr>
      <w:r>
        <w:rPr>
          <w:rFonts w:ascii="Calibri" w:hAnsi="Calibri" w:eastAsia="Calibri"/>
          <w:b/>
          <w:color w:val="1F4D78"/>
          <w:sz w:val="22"/>
        </w:rPr>
        <w:t xml:space="preserve">Важно. </w:t>
      </w:r>
      <w:r>
        <w:rPr>
          <w:rFonts w:ascii="Calibri" w:hAnsi="Calibri" w:eastAsia="Calibri"/>
          <w:color w:val="1F1F1F"/>
          <w:sz w:val="22"/>
        </w:rPr>
        <w:t>Настоящая Политика описывает правила обработки данных и не является согласием. Когда обработка требует согласия, оно запрашивается отдельно от Пользовательского соглашения, договора и иных документов.</w:t>
      </w:r>
    </w:p>
    <w:p>
      <w:pPr>
        <w:pStyle w:val="Heading1"/>
      </w:pPr>
      <w:r>
        <w:t>1. Общие положения</w:t>
      </w:r>
    </w:p>
    <w:p>
      <w:pPr>
        <w:pStyle w:val="Clause"/>
        <w:keepLines/>
        <w:widowControl/>
      </w:pPr>
      <w:r>
        <w:rPr>
          <w:rFonts w:ascii="Calibri" w:hAnsi="Calibri" w:eastAsia="Calibri"/>
          <w:b/>
          <w:color w:val="1F1F1F"/>
          <w:sz w:val="22"/>
        </w:rPr>
        <w:t xml:space="preserve">1.1. </w:t>
      </w:r>
      <w:r>
        <w:rPr>
          <w:rFonts w:ascii="Calibri" w:hAnsi="Calibri" w:eastAsia="Calibri"/>
          <w:color w:val="1F1F1F"/>
          <w:sz w:val="22"/>
        </w:rPr>
        <w:t>Настоящая Политика определяет порядок и условия обработки персональных данных ООО «Пищевые технологии» (далее — «Оператор») при работе сайта https://promta.pro, личных кабинетов, форм обратной связи, оформлении и исполнении заказов на маркетплейсе PROMTA.PRO.</w:t>
      </w:r>
    </w:p>
    <w:p>
      <w:pPr>
        <w:pStyle w:val="Clause"/>
        <w:keepLines/>
        <w:widowControl/>
      </w:pPr>
      <w:r>
        <w:rPr>
          <w:rFonts w:ascii="Calibri" w:hAnsi="Calibri" w:eastAsia="Calibri"/>
          <w:b/>
          <w:color w:val="1F1F1F"/>
          <w:sz w:val="22"/>
        </w:rPr>
        <w:t xml:space="preserve">1.2. </w:t>
      </w:r>
      <w:r>
        <w:rPr>
          <w:rFonts w:ascii="Calibri" w:hAnsi="Calibri" w:eastAsia="Calibri"/>
          <w:color w:val="1F1F1F"/>
          <w:sz w:val="22"/>
        </w:rPr>
        <w:t>Оператор находится по адресу: 124482, Российская Федерация, г. Москва, внутригородская территория муниципальный округ Савёлки, г. Зеленоград, корп. 317А, стр. 1, помещ. 8Н. Контакт по вопросам персональных данных: pt24@pt24.ru, +7 (499) 350-18-19.</w:t>
      </w:r>
    </w:p>
    <w:p>
      <w:pPr>
        <w:pStyle w:val="Clause"/>
        <w:keepLines/>
        <w:widowControl/>
      </w:pPr>
      <w:r>
        <w:rPr>
          <w:rFonts w:ascii="Calibri" w:hAnsi="Calibri" w:eastAsia="Calibri"/>
          <w:b/>
          <w:color w:val="1F1F1F"/>
          <w:sz w:val="22"/>
        </w:rPr>
        <w:t xml:space="preserve">1.3. </w:t>
      </w:r>
      <w:r>
        <w:rPr>
          <w:rFonts w:ascii="Calibri" w:hAnsi="Calibri" w:eastAsia="Calibri"/>
          <w:color w:val="1F1F1F"/>
          <w:sz w:val="22"/>
        </w:rPr>
        <w:t>Политика применяется к посетителям Сайта, зарегистрированным пользователям, покупателям, представителям покупателей — юридических лиц и индивидуальных предпринимателей, поставщикам и их представителям, а также лицам, обращающимся в поддержку.</w:t>
      </w:r>
    </w:p>
    <w:p>
      <w:pPr>
        <w:pStyle w:val="Clause"/>
        <w:keepLines/>
        <w:widowControl/>
      </w:pPr>
      <w:r>
        <w:rPr>
          <w:rFonts w:ascii="Calibri" w:hAnsi="Calibri" w:eastAsia="Calibri"/>
          <w:b/>
          <w:color w:val="1F1F1F"/>
          <w:sz w:val="22"/>
        </w:rPr>
        <w:t xml:space="preserve">1.4. </w:t>
      </w:r>
      <w:r>
        <w:rPr>
          <w:rFonts w:ascii="Calibri" w:hAnsi="Calibri" w:eastAsia="Calibri"/>
          <w:color w:val="1F1F1F"/>
          <w:sz w:val="22"/>
        </w:rPr>
        <w:t>Политика разработана в соответствии с Конституцией Российской Федерации, Федеральным законом от 27.07.2006 № 152-ФЗ «О персональных данных» и иными применимыми нормативными правовыми актами Российской Федерации.</w:t>
      </w:r>
    </w:p>
    <w:p>
      <w:pPr>
        <w:pStyle w:val="Clause"/>
        <w:keepLines/>
        <w:widowControl/>
      </w:pPr>
      <w:r>
        <w:rPr>
          <w:rFonts w:ascii="Calibri" w:hAnsi="Calibri" w:eastAsia="Calibri"/>
          <w:b/>
          <w:color w:val="1F1F1F"/>
          <w:sz w:val="22"/>
        </w:rPr>
        <w:t xml:space="preserve">1.5. </w:t>
      </w:r>
      <w:r>
        <w:rPr>
          <w:rFonts w:ascii="Calibri" w:hAnsi="Calibri" w:eastAsia="Calibri"/>
          <w:color w:val="1F1F1F"/>
          <w:sz w:val="22"/>
        </w:rPr>
        <w:t>Сайт не предназначен специально для лиц младше 18 лет. Если Оператору станет известно о получении данных несовершеннолетнего без требуемого участия законного представителя, такие данные подлежат блокированию и удалению при отсутствии иного законного основания.</w:t>
      </w:r>
    </w:p>
    <w:p>
      <w:pPr>
        <w:pStyle w:val="Clause"/>
        <w:keepLines/>
        <w:widowControl/>
      </w:pPr>
      <w:r>
        <w:rPr>
          <w:rFonts w:ascii="Calibri" w:hAnsi="Calibri" w:eastAsia="Calibri"/>
          <w:b/>
          <w:color w:val="1F1F1F"/>
          <w:sz w:val="22"/>
        </w:rPr>
        <w:t xml:space="preserve">1.6. </w:t>
      </w:r>
      <w:r>
        <w:rPr>
          <w:rFonts w:ascii="Calibri" w:hAnsi="Calibri" w:eastAsia="Calibri"/>
          <w:color w:val="1F1F1F"/>
          <w:sz w:val="22"/>
        </w:rPr>
        <w:t>Термины «персональные данные», «обработка», «оператор», «блокирование», «уничтожение», «обезличивание» и «трансграничная передача» используются в значениях, установленных законодательством Российской Федерации.</w:t>
      </w:r>
    </w:p>
    <w:p>
      <w:pPr>
        <w:pStyle w:val="Heading1"/>
      </w:pPr>
      <w:r>
        <w:t>2. Принципы и правовые основания обработки</w:t>
      </w:r>
    </w:p>
    <w:p>
      <w:pPr>
        <w:pStyle w:val="Clause"/>
        <w:keepLines/>
        <w:widowControl/>
      </w:pPr>
      <w:r>
        <w:rPr>
          <w:rFonts w:ascii="Calibri" w:hAnsi="Calibri" w:eastAsia="Calibri"/>
          <w:b/>
          <w:color w:val="1F1F1F"/>
          <w:sz w:val="22"/>
        </w:rPr>
        <w:t xml:space="preserve">2.1. </w:t>
      </w:r>
      <w:r>
        <w:rPr>
          <w:rFonts w:ascii="Calibri" w:hAnsi="Calibri" w:eastAsia="Calibri"/>
          <w:color w:val="1F1F1F"/>
          <w:sz w:val="22"/>
        </w:rPr>
        <w:t>Оператор обрабатывает данные законно и добросовестно, только для заранее определённых и законных целей, не объединяет несовместимые базы, соблюдает точность и достаточность данных и не хранит их дольше, чем требуется для заявленных целей или по закону.</w:t>
      </w:r>
    </w:p>
    <w:p>
      <w:pPr>
        <w:pStyle w:val="Clause"/>
        <w:keepLines/>
        <w:widowControl/>
      </w:pPr>
      <w:r>
        <w:rPr>
          <w:rFonts w:ascii="Calibri" w:hAnsi="Calibri" w:eastAsia="Calibri"/>
          <w:b/>
          <w:color w:val="1F1F1F"/>
          <w:sz w:val="22"/>
        </w:rPr>
        <w:t xml:space="preserve">2.2. </w:t>
      </w:r>
      <w:r>
        <w:rPr>
          <w:rFonts w:ascii="Calibri" w:hAnsi="Calibri" w:eastAsia="Calibri"/>
          <w:color w:val="1F1F1F"/>
          <w:sz w:val="22"/>
        </w:rPr>
        <w:t>В зависимости от ситуации основаниями обработки являются: заключение и исполнение договора либо действия по запросу субъекта до его заключения; исполнение обязанностей Оператора по закону; согласие субъекта; осуществление прав и законных интересов Оператора или третьих лиц при условии, что права и свободы субъекта не нарушаются.</w:t>
      </w:r>
    </w:p>
    <w:p>
      <w:pPr>
        <w:pStyle w:val="Clause"/>
        <w:keepLines/>
        <w:widowControl/>
      </w:pPr>
      <w:r>
        <w:rPr>
          <w:rFonts w:ascii="Calibri" w:hAnsi="Calibri" w:eastAsia="Calibri"/>
          <w:b/>
          <w:color w:val="1F1F1F"/>
          <w:sz w:val="22"/>
        </w:rPr>
        <w:t xml:space="preserve">2.3. </w:t>
      </w:r>
      <w:r>
        <w:rPr>
          <w:rFonts w:ascii="Calibri" w:hAnsi="Calibri" w:eastAsia="Calibri"/>
          <w:color w:val="1F1F1F"/>
          <w:sz w:val="22"/>
        </w:rPr>
        <w:t>Отзыв согласия не прекращает обработку, которая законно продолжается на другом основании, например для исполнения уже заключённого договора, бухгалтерского и налогового учёта, рассмотрения претензий или защиты прав в суде.</w:t>
      </w:r>
    </w:p>
    <w:p>
      <w:pPr>
        <w:pStyle w:val="Clause"/>
        <w:keepLines/>
        <w:widowControl/>
      </w:pPr>
      <w:r>
        <w:rPr>
          <w:rFonts w:ascii="Calibri" w:hAnsi="Calibri" w:eastAsia="Calibri"/>
          <w:b/>
          <w:color w:val="1F1F1F"/>
          <w:sz w:val="22"/>
        </w:rPr>
        <w:t xml:space="preserve">2.4. </w:t>
      </w:r>
      <w:r>
        <w:rPr>
          <w:rFonts w:ascii="Calibri" w:hAnsi="Calibri" w:eastAsia="Calibri"/>
          <w:color w:val="1F1F1F"/>
          <w:sz w:val="22"/>
        </w:rPr>
        <w:t>Оператор не обусловливает доступ к функциональности согласием на обработку данных, не требующихся для её предоставления. Необязательные цели, включая рекламу и необязательную аналитику, оформляются отдельно.</w:t>
      </w:r>
    </w:p>
    <w:p>
      <w:pPr>
        <w:pStyle w:val="Heading1"/>
      </w:pPr>
      <w:r>
        <w:t>3. Субъекты, цели и состав персональных данных</w:t>
      </w:r>
    </w:p>
    <w:p>
      <w:pPr>
        <w:pStyle w:val="Clause"/>
        <w:keepLines/>
        <w:widowControl/>
      </w:pPr>
      <w:r>
        <w:rPr>
          <w:rFonts w:ascii="Calibri" w:hAnsi="Calibri" w:eastAsia="Calibri"/>
          <w:color w:val="1F1F1F"/>
          <w:sz w:val="22"/>
        </w:rPr>
        <w:t>Оператор определяет состав данных по принципу минимальной достаточности. Конкретный набор зависит от роли пользователя и выбранной функции Сайта.</w:t>
      </w:r>
    </w:p>
    <w:tbl>
      <w:tblPr>
        <w:tblStyle w:val="TableGrid"/>
        <w:tblW w:type="dxa" w:w="9360"/>
        <w:jc w:val="left"/>
        <w:tblLayout w:type="fixed"/>
        <w:tblLook w:firstColumn="1" w:firstRow="1" w:lastColumn="0" w:lastRow="0" w:noHBand="0" w:noVBand="1" w:val="04A0"/>
        <w:tblInd w:w="120" w:type="dxa"/>
      </w:tblPr>
      <w:tblGrid>
        <w:gridCol w:w="2100"/>
        <w:gridCol w:w="3300"/>
        <w:gridCol w:w="3960"/>
      </w:tblGrid>
      <w:tr>
        <w:trPr>
          <w:tblHeader w:val="true"/>
        </w:trPr>
        <w:tc>
          <w:tcPr>
            <w:tcW w:type="dxa" w:w="210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Категория субъектов</w:t>
            </w:r>
          </w:p>
        </w:tc>
        <w:tc>
          <w:tcPr>
            <w:tcW w:type="dxa" w:w="330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Цели</w:t>
            </w:r>
          </w:p>
        </w:tc>
        <w:tc>
          <w:tcPr>
            <w:tcW w:type="dxa" w:w="396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Основные данные</w:t>
            </w:r>
          </w:p>
        </w:tc>
      </w:tr>
      <w:tr>
        <w:trPr>
          <w:cantSplit w:val="true"/>
        </w:trPr>
        <w:tc>
          <w:tcPr>
            <w:tcW w:type="dxa" w:w="2100"/>
            <w:tcMar>
              <w:top w:w="80" w:type="dxa"/>
              <w:start w:w="120" w:type="dxa"/>
              <w:bottom w:w="80" w:type="dxa"/>
              <w:end w:w="120" w:type="dxa"/>
            </w:tcMar>
            <w:vAlign w:val="center"/>
          </w:tcPr>
          <w:p>
            <w:pPr>
              <w:spacing w:after="0" w:line="240" w:lineRule="auto"/>
            </w:pPr>
            <w:r>
              <w:rPr>
                <w:rFonts w:ascii="Calibri" w:hAnsi="Calibri" w:eastAsia="Calibri"/>
                <w:color w:val="1F1F1F"/>
                <w:sz w:val="18"/>
              </w:rPr>
              <w:t>Посетители Сайта</w:t>
            </w:r>
          </w:p>
        </w:tc>
        <w:tc>
          <w:tcPr>
            <w:tcW w:type="dxa" w:w="3300"/>
            <w:tcMar>
              <w:top w:w="80" w:type="dxa"/>
              <w:start w:w="120" w:type="dxa"/>
              <w:bottom w:w="80" w:type="dxa"/>
              <w:end w:w="120" w:type="dxa"/>
            </w:tcMar>
            <w:vAlign w:val="center"/>
          </w:tcPr>
          <w:p>
            <w:pPr>
              <w:spacing w:after="0" w:line="240" w:lineRule="auto"/>
            </w:pPr>
            <w:r>
              <w:rPr>
                <w:rFonts w:ascii="Calibri" w:hAnsi="Calibri" w:eastAsia="Calibri"/>
                <w:color w:val="1F1F1F"/>
                <w:sz w:val="18"/>
              </w:rPr>
              <w:t>Работа и защита Сайта; сохранение сеанса и настроек; диагностика; необязательная аналитика при наличии согласия.</w:t>
            </w:r>
          </w:p>
        </w:tc>
        <w:tc>
          <w:tcPr>
            <w:tcW w:type="dxa" w:w="3960"/>
            <w:tcMar>
              <w:top w:w="80" w:type="dxa"/>
              <w:start w:w="120" w:type="dxa"/>
              <w:bottom w:w="80" w:type="dxa"/>
              <w:end w:w="120" w:type="dxa"/>
            </w:tcMar>
            <w:vAlign w:val="center"/>
          </w:tcPr>
          <w:p>
            <w:pPr>
              <w:spacing w:after="0" w:line="240" w:lineRule="auto"/>
            </w:pPr>
            <w:r>
              <w:rPr>
                <w:rFonts w:ascii="Calibri" w:hAnsi="Calibri" w:eastAsia="Calibri"/>
                <w:color w:val="1F1F1F"/>
                <w:sz w:val="18"/>
              </w:rPr>
              <w:t>IP-адрес, дата и время, сведения о браузере и устройстве, посещённые страницы, источник перехода, технические идентификаторы и cookies.</w:t>
            </w:r>
          </w:p>
        </w:tc>
      </w:tr>
      <w:tr>
        <w:trPr>
          <w:cantSplit w:val="true"/>
        </w:trPr>
        <w:tc>
          <w:tcPr>
            <w:tcW w:type="dxa" w:w="2100"/>
            <w:tcMar>
              <w:top w:w="80" w:type="dxa"/>
              <w:start w:w="120" w:type="dxa"/>
              <w:bottom w:w="80" w:type="dxa"/>
              <w:end w:w="120" w:type="dxa"/>
            </w:tcMar>
            <w:vAlign w:val="center"/>
          </w:tcPr>
          <w:p>
            <w:pPr>
              <w:spacing w:after="0" w:line="240" w:lineRule="auto"/>
            </w:pPr>
            <w:r>
              <w:rPr>
                <w:rFonts w:ascii="Calibri" w:hAnsi="Calibri" w:eastAsia="Calibri"/>
                <w:color w:val="1F1F1F"/>
                <w:sz w:val="18"/>
              </w:rPr>
              <w:t>Пользователи личного кабинета</w:t>
            </w:r>
          </w:p>
        </w:tc>
        <w:tc>
          <w:tcPr>
            <w:tcW w:type="dxa" w:w="3300"/>
            <w:tcMar>
              <w:top w:w="80" w:type="dxa"/>
              <w:start w:w="120" w:type="dxa"/>
              <w:bottom w:w="80" w:type="dxa"/>
              <w:end w:w="120" w:type="dxa"/>
            </w:tcMar>
            <w:vAlign w:val="center"/>
          </w:tcPr>
          <w:p>
            <w:pPr>
              <w:spacing w:after="0" w:line="240" w:lineRule="auto"/>
            </w:pPr>
            <w:r>
              <w:rPr>
                <w:rFonts w:ascii="Calibri" w:hAnsi="Calibri" w:eastAsia="Calibri"/>
                <w:color w:val="1F1F1F"/>
                <w:sz w:val="18"/>
              </w:rPr>
              <w:t>Регистрация, аутентификация, управление профилем, уведомления о действиях, поддержка и информационная безопасность.</w:t>
            </w:r>
          </w:p>
        </w:tc>
        <w:tc>
          <w:tcPr>
            <w:tcW w:type="dxa" w:w="3960"/>
            <w:tcMar>
              <w:top w:w="80" w:type="dxa"/>
              <w:start w:w="120" w:type="dxa"/>
              <w:bottom w:w="80" w:type="dxa"/>
              <w:end w:w="120" w:type="dxa"/>
            </w:tcMar>
            <w:vAlign w:val="center"/>
          </w:tcPr>
          <w:p>
            <w:pPr>
              <w:spacing w:after="0" w:line="240" w:lineRule="auto"/>
            </w:pPr>
            <w:r>
              <w:rPr>
                <w:rFonts w:ascii="Calibri" w:hAnsi="Calibri" w:eastAsia="Calibri"/>
                <w:color w:val="1F1F1F"/>
                <w:sz w:val="18"/>
              </w:rPr>
              <w:t>ФИО, телефон, e-mail, организация и должность (если указаны), идентификатор учётной записи, события входа и действий. Пароль хранится в защищённом преобразованном виде, если применяется парольная авторизация.</w:t>
            </w:r>
          </w:p>
        </w:tc>
      </w:tr>
      <w:tr>
        <w:trPr>
          <w:cantSplit w:val="true"/>
        </w:trPr>
        <w:tc>
          <w:tcPr>
            <w:tcW w:type="dxa" w:w="2100"/>
            <w:tcMar>
              <w:top w:w="80" w:type="dxa"/>
              <w:start w:w="120" w:type="dxa"/>
              <w:bottom w:w="80" w:type="dxa"/>
              <w:end w:w="120" w:type="dxa"/>
            </w:tcMar>
            <w:vAlign w:val="center"/>
          </w:tcPr>
          <w:p>
            <w:pPr>
              <w:spacing w:after="0" w:line="240" w:lineRule="auto"/>
            </w:pPr>
            <w:r>
              <w:rPr>
                <w:rFonts w:ascii="Calibri" w:hAnsi="Calibri" w:eastAsia="Calibri"/>
                <w:color w:val="1F1F1F"/>
                <w:sz w:val="18"/>
              </w:rPr>
              <w:t>Покупатели и их представители</w:t>
            </w:r>
          </w:p>
        </w:tc>
        <w:tc>
          <w:tcPr>
            <w:tcW w:type="dxa" w:w="3300"/>
            <w:tcMar>
              <w:top w:w="80" w:type="dxa"/>
              <w:start w:w="120" w:type="dxa"/>
              <w:bottom w:w="80" w:type="dxa"/>
              <w:end w:w="120" w:type="dxa"/>
            </w:tcMar>
            <w:vAlign w:val="center"/>
          </w:tcPr>
          <w:p>
            <w:pPr>
              <w:spacing w:after="0" w:line="240" w:lineRule="auto"/>
            </w:pPr>
            <w:r>
              <w:rPr>
                <w:rFonts w:ascii="Calibri" w:hAnsi="Calibri" w:eastAsia="Calibri"/>
                <w:color w:val="1F1F1F"/>
                <w:sz w:val="18"/>
              </w:rPr>
              <w:t>Оформление и исполнение заказа, оплата, доставка, монтаж/пусконаладка, поддержка, возвраты, гарантийные и иные претензии.</w:t>
            </w:r>
          </w:p>
        </w:tc>
        <w:tc>
          <w:tcPr>
            <w:tcW w:type="dxa" w:w="3960"/>
            <w:tcMar>
              <w:top w:w="80" w:type="dxa"/>
              <w:start w:w="120" w:type="dxa"/>
              <w:bottom w:w="80" w:type="dxa"/>
              <w:end w:w="120" w:type="dxa"/>
            </w:tcMar>
            <w:vAlign w:val="center"/>
          </w:tcPr>
          <w:p>
            <w:pPr>
              <w:spacing w:after="0" w:line="240" w:lineRule="auto"/>
            </w:pPr>
            <w:r>
              <w:rPr>
                <w:rFonts w:ascii="Calibri" w:hAnsi="Calibri" w:eastAsia="Calibri"/>
                <w:color w:val="1F1F1F"/>
                <w:sz w:val="18"/>
              </w:rPr>
              <w:t>Контакты, организация и реквизиты, адрес и условия доставки, состав и стоимость заказа, сведения о платеже и статусе операции, переписка, обращения и документы по сделке.</w:t>
            </w:r>
          </w:p>
        </w:tc>
      </w:tr>
      <w:tr>
        <w:trPr>
          <w:cantSplit w:val="true"/>
        </w:trPr>
        <w:tc>
          <w:tcPr>
            <w:tcW w:type="dxa" w:w="2100"/>
            <w:tcMar>
              <w:top w:w="80" w:type="dxa"/>
              <w:start w:w="120" w:type="dxa"/>
              <w:bottom w:w="80" w:type="dxa"/>
              <w:end w:w="120" w:type="dxa"/>
            </w:tcMar>
            <w:vAlign w:val="center"/>
          </w:tcPr>
          <w:p>
            <w:pPr>
              <w:spacing w:after="0" w:line="240" w:lineRule="auto"/>
            </w:pPr>
            <w:r>
              <w:rPr>
                <w:rFonts w:ascii="Calibri" w:hAnsi="Calibri" w:eastAsia="Calibri"/>
                <w:color w:val="1F1F1F"/>
                <w:sz w:val="18"/>
              </w:rPr>
              <w:t>Поставщики и их представители</w:t>
            </w:r>
          </w:p>
        </w:tc>
        <w:tc>
          <w:tcPr>
            <w:tcW w:type="dxa" w:w="3300"/>
            <w:tcMar>
              <w:top w:w="80" w:type="dxa"/>
              <w:start w:w="120" w:type="dxa"/>
              <w:bottom w:w="80" w:type="dxa"/>
              <w:end w:w="120" w:type="dxa"/>
            </w:tcMar>
            <w:vAlign w:val="center"/>
          </w:tcPr>
          <w:p>
            <w:pPr>
              <w:spacing w:after="0" w:line="240" w:lineRule="auto"/>
            </w:pPr>
            <w:r>
              <w:rPr>
                <w:rFonts w:ascii="Calibri" w:hAnsi="Calibri" w:eastAsia="Calibri"/>
                <w:color w:val="1F1F1F"/>
                <w:sz w:val="18"/>
              </w:rPr>
              <w:t>Регистрация поставщика, проверка полномочий, заключение и исполнение агентской оферты, публикация предложений, расчёты и отчётность.</w:t>
            </w:r>
          </w:p>
        </w:tc>
        <w:tc>
          <w:tcPr>
            <w:tcW w:type="dxa" w:w="3960"/>
            <w:tcMar>
              <w:top w:w="80" w:type="dxa"/>
              <w:start w:w="120" w:type="dxa"/>
              <w:bottom w:w="80" w:type="dxa"/>
              <w:end w:w="120" w:type="dxa"/>
            </w:tcMar>
            <w:vAlign w:val="center"/>
          </w:tcPr>
          <w:p>
            <w:pPr>
              <w:spacing w:after="0" w:line="240" w:lineRule="auto"/>
            </w:pPr>
            <w:r>
              <w:rPr>
                <w:rFonts w:ascii="Calibri" w:hAnsi="Calibri" w:eastAsia="Calibri"/>
                <w:color w:val="1F1F1F"/>
                <w:sz w:val="18"/>
              </w:rPr>
              <w:t>ФИО, контакты, должность, организация и её реквизиты, полномочия, банковские и договорные сведения, сведения об исполнении заказов и взаиморасчётах.</w:t>
            </w:r>
          </w:p>
        </w:tc>
      </w:tr>
      <w:tr>
        <w:trPr>
          <w:cantSplit w:val="true"/>
        </w:trPr>
        <w:tc>
          <w:tcPr>
            <w:tcW w:type="dxa" w:w="2100"/>
            <w:tcMar>
              <w:top w:w="80" w:type="dxa"/>
              <w:start w:w="120" w:type="dxa"/>
              <w:bottom w:w="80" w:type="dxa"/>
              <w:end w:w="120" w:type="dxa"/>
            </w:tcMar>
            <w:vAlign w:val="center"/>
          </w:tcPr>
          <w:p>
            <w:pPr>
              <w:spacing w:after="0" w:line="240" w:lineRule="auto"/>
            </w:pPr>
            <w:r>
              <w:rPr>
                <w:rFonts w:ascii="Calibri" w:hAnsi="Calibri" w:eastAsia="Calibri"/>
                <w:color w:val="1F1F1F"/>
                <w:sz w:val="18"/>
              </w:rPr>
              <w:t>Обратившиеся в поддержку</w:t>
            </w:r>
          </w:p>
        </w:tc>
        <w:tc>
          <w:tcPr>
            <w:tcW w:type="dxa" w:w="3300"/>
            <w:tcMar>
              <w:top w:w="80" w:type="dxa"/>
              <w:start w:w="120" w:type="dxa"/>
              <w:bottom w:w="80" w:type="dxa"/>
              <w:end w:w="120" w:type="dxa"/>
            </w:tcMar>
            <w:vAlign w:val="center"/>
          </w:tcPr>
          <w:p>
            <w:pPr>
              <w:spacing w:after="0" w:line="240" w:lineRule="auto"/>
            </w:pPr>
            <w:r>
              <w:rPr>
                <w:rFonts w:ascii="Calibri" w:hAnsi="Calibri" w:eastAsia="Calibri"/>
                <w:color w:val="1F1F1F"/>
                <w:sz w:val="18"/>
              </w:rPr>
              <w:t>Ответ на вопрос, фиксация и разрешение обращения, контроль качества и защита прав сторон.</w:t>
            </w:r>
          </w:p>
        </w:tc>
        <w:tc>
          <w:tcPr>
            <w:tcW w:type="dxa" w:w="3960"/>
            <w:tcMar>
              <w:top w:w="80" w:type="dxa"/>
              <w:start w:w="120" w:type="dxa"/>
              <w:bottom w:w="80" w:type="dxa"/>
              <w:end w:w="120" w:type="dxa"/>
            </w:tcMar>
            <w:vAlign w:val="center"/>
          </w:tcPr>
          <w:p>
            <w:pPr>
              <w:spacing w:after="0" w:line="240" w:lineRule="auto"/>
            </w:pPr>
            <w:r>
              <w:rPr>
                <w:rFonts w:ascii="Calibri" w:hAnsi="Calibri" w:eastAsia="Calibri"/>
                <w:color w:val="1F1F1F"/>
                <w:sz w:val="18"/>
              </w:rPr>
              <w:t>Имя, контакты, содержание обращения, переписка, записи действий в системе и приложенные документы.</w:t>
            </w:r>
          </w:p>
        </w:tc>
      </w:tr>
    </w:tbl>
    <w:p>
      <w:pPr>
        <w:spacing w:before="80" w:after="0"/>
      </w:pPr>
    </w:p>
    <w:p>
      <w:pPr>
        <w:pStyle w:val="Clause"/>
        <w:keepLines/>
        <w:widowControl/>
      </w:pPr>
      <w:r>
        <w:rPr>
          <w:rFonts w:ascii="Calibri" w:hAnsi="Calibri" w:eastAsia="Calibri"/>
          <w:b/>
          <w:color w:val="1F1F1F"/>
          <w:sz w:val="22"/>
        </w:rPr>
        <w:t xml:space="preserve">3.1. </w:t>
      </w:r>
      <w:r>
        <w:rPr>
          <w:rFonts w:ascii="Calibri" w:hAnsi="Calibri" w:eastAsia="Calibri"/>
          <w:color w:val="1F1F1F"/>
          <w:sz w:val="22"/>
        </w:rPr>
        <w:t>При оплате Оператор может получать от банка или платёжного оператора идентификатор и статус платежа, сумму, способ оплаты, дату операции и данные, необходимые для возврата или исполнения требований закона. Полные реквизиты банковской карты, CVC/CVV и иные аутентификационные данные карты Оператором не запрашиваются и не хранятся, если платёжная форма предоставлена платёжным оператором.</w:t>
      </w:r>
    </w:p>
    <w:p>
      <w:pPr>
        <w:pStyle w:val="Clause"/>
        <w:keepLines/>
        <w:widowControl/>
      </w:pPr>
      <w:r>
        <w:rPr>
          <w:rFonts w:ascii="Calibri" w:hAnsi="Calibri" w:eastAsia="Calibri"/>
          <w:b/>
          <w:color w:val="1F1F1F"/>
          <w:sz w:val="22"/>
        </w:rPr>
        <w:t xml:space="preserve">3.2. </w:t>
      </w:r>
      <w:r>
        <w:rPr>
          <w:rFonts w:ascii="Calibri" w:hAnsi="Calibri" w:eastAsia="Calibri"/>
          <w:color w:val="1F1F1F"/>
          <w:sz w:val="22"/>
        </w:rPr>
        <w:t>Паспортные данные, сведения о доверенности и иные идентификационные документы обрабатываются только когда это требуется законом, условиями конкретной сделки, проверкой полномочий, платёжной организацией либо для защиты прав сторон.</w:t>
      </w:r>
    </w:p>
    <w:p>
      <w:pPr>
        <w:pStyle w:val="Clause"/>
        <w:keepLines/>
        <w:widowControl/>
      </w:pPr>
      <w:r>
        <w:rPr>
          <w:rFonts w:ascii="Calibri" w:hAnsi="Calibri" w:eastAsia="Calibri"/>
          <w:b/>
          <w:color w:val="1F1F1F"/>
          <w:sz w:val="22"/>
        </w:rPr>
        <w:t xml:space="preserve">3.3. </w:t>
      </w:r>
      <w:r>
        <w:rPr>
          <w:rFonts w:ascii="Calibri" w:hAnsi="Calibri" w:eastAsia="Calibri"/>
          <w:color w:val="1F1F1F"/>
          <w:sz w:val="22"/>
        </w:rPr>
        <w:t>Оператор не ставит целью обработку специальных категорий данных о расовой или национальной принадлежности, политических взглядах, религиозных или философских убеждениях, состоянии здоровья, интимной жизни, а также биометрических данных. Пользователям не следует направлять такие сведения без прямого запроса и законного основания.</w:t>
      </w:r>
    </w:p>
    <w:p>
      <w:pPr>
        <w:pStyle w:val="Clause"/>
        <w:keepLines/>
        <w:widowControl/>
      </w:pPr>
      <w:r>
        <w:rPr>
          <w:rFonts w:ascii="Calibri" w:hAnsi="Calibri" w:eastAsia="Calibri"/>
          <w:b/>
          <w:color w:val="1F1F1F"/>
          <w:sz w:val="22"/>
        </w:rPr>
        <w:t xml:space="preserve">3.4. </w:t>
      </w:r>
      <w:r>
        <w:rPr>
          <w:rFonts w:ascii="Calibri" w:hAnsi="Calibri" w:eastAsia="Calibri"/>
          <w:color w:val="1F1F1F"/>
          <w:sz w:val="22"/>
        </w:rPr>
        <w:t>Для рекламных рассылок используется отдельное предварительное согласие. Отказ от рекламы не ограничивает регистрацию, оформление заказа и получение сервисных сообщений, необходимых для исполнения сделки или обеспечения безопасности.</w:t>
      </w:r>
    </w:p>
    <w:p>
      <w:pPr>
        <w:pStyle w:val="Heading1"/>
      </w:pPr>
      <w:r>
        <w:t>4. Источники данных и способы обработки</w:t>
      </w:r>
    </w:p>
    <w:p>
      <w:pPr>
        <w:pStyle w:val="Clause"/>
        <w:keepLines/>
        <w:widowControl/>
      </w:pPr>
      <w:r>
        <w:rPr>
          <w:rFonts w:ascii="Calibri" w:hAnsi="Calibri" w:eastAsia="Calibri"/>
          <w:b/>
          <w:color w:val="1F1F1F"/>
          <w:sz w:val="22"/>
        </w:rPr>
        <w:t xml:space="preserve">4.1. </w:t>
      </w:r>
      <w:r>
        <w:rPr>
          <w:rFonts w:ascii="Calibri" w:hAnsi="Calibri" w:eastAsia="Calibri"/>
          <w:color w:val="1F1F1F"/>
          <w:sz w:val="22"/>
        </w:rPr>
        <w:t>Данные поступают непосредственно от субъекта, его работодателя или представляемой организации, поставщика по конкретному заказу, платёжной или логистической организации, а также автоматически от устройства при использовании Сайта.</w:t>
      </w:r>
    </w:p>
    <w:p>
      <w:pPr>
        <w:pStyle w:val="Clause"/>
        <w:keepLines/>
        <w:widowControl/>
      </w:pPr>
      <w:r>
        <w:rPr>
          <w:rFonts w:ascii="Calibri" w:hAnsi="Calibri" w:eastAsia="Calibri"/>
          <w:b/>
          <w:color w:val="1F1F1F"/>
          <w:sz w:val="22"/>
        </w:rPr>
        <w:t xml:space="preserve">4.2. </w:t>
      </w:r>
      <w:r>
        <w:rPr>
          <w:rFonts w:ascii="Calibri" w:hAnsi="Calibri" w:eastAsia="Calibri"/>
          <w:color w:val="1F1F1F"/>
          <w:sz w:val="22"/>
        </w:rPr>
        <w:t>Обработка может выполняться с использованием средств автоматизации и без них и включает сбор, запись, систематизацию, накопление, хранение, уточнение, извлечение, использование, передачу надлежащим получателям, обезличивание, блокирование, удаление и уничтожение.</w:t>
      </w:r>
    </w:p>
    <w:p>
      <w:pPr>
        <w:pStyle w:val="Clause"/>
        <w:keepLines/>
        <w:widowControl/>
      </w:pPr>
      <w:r>
        <w:rPr>
          <w:rFonts w:ascii="Calibri" w:hAnsi="Calibri" w:eastAsia="Calibri"/>
          <w:b/>
          <w:color w:val="1F1F1F"/>
          <w:sz w:val="22"/>
        </w:rPr>
        <w:t xml:space="preserve">4.3. </w:t>
      </w:r>
      <w:r>
        <w:rPr>
          <w:rFonts w:ascii="Calibri" w:hAnsi="Calibri" w:eastAsia="Calibri"/>
          <w:color w:val="1F1F1F"/>
          <w:sz w:val="22"/>
        </w:rPr>
        <w:t>Пользователь обязан предоставлять достоверные данные и своевременно обновлять их в личном кабинете либо сообщать об изменениях Оператору. Если данные предоставляются о другом лице, пользователь подтверждает наличие законных полномочий или иного основания.</w:t>
      </w:r>
    </w:p>
    <w:p>
      <w:pPr>
        <w:pStyle w:val="Clause"/>
        <w:keepLines/>
        <w:widowControl/>
      </w:pPr>
      <w:r>
        <w:rPr>
          <w:rFonts w:ascii="Calibri" w:hAnsi="Calibri" w:eastAsia="Calibri"/>
          <w:b/>
          <w:color w:val="1F1F1F"/>
          <w:sz w:val="22"/>
        </w:rPr>
        <w:t xml:space="preserve">4.4. </w:t>
      </w:r>
      <w:r>
        <w:rPr>
          <w:rFonts w:ascii="Calibri" w:hAnsi="Calibri" w:eastAsia="Calibri"/>
          <w:color w:val="1F1F1F"/>
          <w:sz w:val="22"/>
        </w:rPr>
        <w:t>Оператор не принимает решений, порождающих юридические последствия для субъекта или иным образом существенно затрагивающих его права, исключительно на основании автоматизированной обработки, если иное не предусмотрено законом или отдельным согласием. Автоматические проверки безопасности и ранжирование предложений сами по себе не заменяют решение о заключении сделки.</w:t>
      </w:r>
    </w:p>
    <w:p>
      <w:pPr>
        <w:pStyle w:val="Heading1"/>
      </w:pPr>
      <w:r>
        <w:t>5. Передача данных и участники обработки</w:t>
      </w:r>
    </w:p>
    <w:tbl>
      <w:tblPr>
        <w:tblStyle w:val="TableGrid"/>
        <w:tblW w:type="dxa" w:w="9360"/>
        <w:jc w:val="left"/>
        <w:tblLayout w:type="fixed"/>
        <w:tblLook w:firstColumn="1" w:firstRow="1" w:lastColumn="0" w:lastRow="0" w:noHBand="0" w:noVBand="1" w:val="04A0"/>
        <w:tblInd w:w="120" w:type="dxa"/>
      </w:tblPr>
      <w:tblGrid>
        <w:gridCol w:w="3050"/>
        <w:gridCol w:w="6310"/>
      </w:tblGrid>
      <w:tr>
        <w:trPr>
          <w:tblHeader w:val="true"/>
        </w:trPr>
        <w:tc>
          <w:tcPr>
            <w:tcW w:type="dxa" w:w="305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Получатель / категория</w:t>
            </w:r>
          </w:p>
        </w:tc>
        <w:tc>
          <w:tcPr>
            <w:tcW w:type="dxa" w:w="631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Условия и цель передачи</w:t>
            </w:r>
          </w:p>
        </w:tc>
      </w:tr>
      <w:tr>
        <w:trPr>
          <w:cantSplit w:val="true"/>
        </w:trPr>
        <w:tc>
          <w:tcPr>
            <w:tcW w:type="dxa" w:w="3050"/>
            <w:tcMar>
              <w:top w:w="80" w:type="dxa"/>
              <w:start w:w="120" w:type="dxa"/>
              <w:bottom w:w="80" w:type="dxa"/>
              <w:end w:w="120" w:type="dxa"/>
            </w:tcMar>
            <w:vAlign w:val="center"/>
          </w:tcPr>
          <w:p>
            <w:pPr>
              <w:spacing w:after="0" w:line="240" w:lineRule="auto"/>
            </w:pPr>
            <w:r>
              <w:rPr>
                <w:rFonts w:ascii="Calibri" w:hAnsi="Calibri" w:eastAsia="Calibri"/>
                <w:color w:val="1F1F1F"/>
                <w:sz w:val="18"/>
              </w:rPr>
              <w:t>Поставщик — продавец товара</w:t>
            </w:r>
          </w:p>
        </w:tc>
        <w:tc>
          <w:tcPr>
            <w:tcW w:type="dxa" w:w="6310"/>
            <w:tcMar>
              <w:top w:w="80" w:type="dxa"/>
              <w:start w:w="120" w:type="dxa"/>
              <w:bottom w:w="80" w:type="dxa"/>
              <w:end w:w="120" w:type="dxa"/>
            </w:tcMar>
            <w:vAlign w:val="center"/>
          </w:tcPr>
          <w:p>
            <w:pPr>
              <w:spacing w:after="0" w:line="240" w:lineRule="auto"/>
            </w:pPr>
            <w:r>
              <w:rPr>
                <w:rFonts w:ascii="Calibri" w:hAnsi="Calibri" w:eastAsia="Calibri"/>
                <w:color w:val="1F1F1F"/>
                <w:sz w:val="18"/>
              </w:rPr>
              <w:t>Получает данные соответствующего покупателя и заказа, необходимые для подтверждения, комплектации, передачи товара, гарантийного обслуживания, возврата и урегулирования претензий. Поставщик может выступать самостоятельным оператором в пределах собственных обязанностей.</w:t>
            </w:r>
          </w:p>
        </w:tc>
      </w:tr>
      <w:tr>
        <w:trPr>
          <w:cantSplit w:val="true"/>
        </w:trPr>
        <w:tc>
          <w:tcPr>
            <w:tcW w:type="dxa" w:w="3050"/>
            <w:tcMar>
              <w:top w:w="80" w:type="dxa"/>
              <w:start w:w="120" w:type="dxa"/>
              <w:bottom w:w="80" w:type="dxa"/>
              <w:end w:w="120" w:type="dxa"/>
            </w:tcMar>
            <w:vAlign w:val="center"/>
          </w:tcPr>
          <w:p>
            <w:pPr>
              <w:spacing w:after="0" w:line="240" w:lineRule="auto"/>
            </w:pPr>
            <w:r>
              <w:rPr>
                <w:rFonts w:ascii="Calibri" w:hAnsi="Calibri" w:eastAsia="Calibri"/>
                <w:color w:val="1F1F1F"/>
                <w:sz w:val="18"/>
              </w:rPr>
              <w:t>Перевозчик, экспедитор, монтажная или сервисная организация</w:t>
            </w:r>
          </w:p>
        </w:tc>
        <w:tc>
          <w:tcPr>
            <w:tcW w:type="dxa" w:w="6310"/>
            <w:tcMar>
              <w:top w:w="80" w:type="dxa"/>
              <w:start w:w="120" w:type="dxa"/>
              <w:bottom w:w="80" w:type="dxa"/>
              <w:end w:w="120" w:type="dxa"/>
            </w:tcMar>
            <w:vAlign w:val="center"/>
          </w:tcPr>
          <w:p>
            <w:pPr>
              <w:spacing w:after="0" w:line="240" w:lineRule="auto"/>
            </w:pPr>
            <w:r>
              <w:rPr>
                <w:rFonts w:ascii="Calibri" w:hAnsi="Calibri" w:eastAsia="Calibri"/>
                <w:color w:val="1F1F1F"/>
                <w:sz w:val="18"/>
              </w:rPr>
              <w:t>Получает имя и контакты получателя, адрес, параметры заказа и иные сведения, минимально необходимые для доставки, допуска, монтажа, пусконаладки или сервиса.</w:t>
            </w:r>
          </w:p>
        </w:tc>
      </w:tr>
      <w:tr>
        <w:trPr>
          <w:cantSplit w:val="true"/>
        </w:trPr>
        <w:tc>
          <w:tcPr>
            <w:tcW w:type="dxa" w:w="3050"/>
            <w:tcMar>
              <w:top w:w="80" w:type="dxa"/>
              <w:start w:w="120" w:type="dxa"/>
              <w:bottom w:w="80" w:type="dxa"/>
              <w:end w:w="120" w:type="dxa"/>
            </w:tcMar>
            <w:vAlign w:val="center"/>
          </w:tcPr>
          <w:p>
            <w:pPr>
              <w:spacing w:after="0" w:line="240" w:lineRule="auto"/>
            </w:pPr>
            <w:r>
              <w:rPr>
                <w:rFonts w:ascii="Calibri" w:hAnsi="Calibri" w:eastAsia="Calibri"/>
                <w:color w:val="1F1F1F"/>
                <w:sz w:val="18"/>
              </w:rPr>
              <w:t>Платёжные организации и банки</w:t>
            </w:r>
          </w:p>
        </w:tc>
        <w:tc>
          <w:tcPr>
            <w:tcW w:type="dxa" w:w="6310"/>
            <w:tcMar>
              <w:top w:w="80" w:type="dxa"/>
              <w:start w:w="120" w:type="dxa"/>
              <w:bottom w:w="80" w:type="dxa"/>
              <w:end w:w="120" w:type="dxa"/>
            </w:tcMar>
            <w:vAlign w:val="center"/>
          </w:tcPr>
          <w:p>
            <w:pPr>
              <w:spacing w:after="0" w:line="240" w:lineRule="auto"/>
            </w:pPr>
            <w:r>
              <w:rPr>
                <w:rFonts w:ascii="Calibri" w:hAnsi="Calibri" w:eastAsia="Calibri"/>
                <w:color w:val="1F1F1F"/>
                <w:sz w:val="18"/>
              </w:rPr>
              <w:t>Получают и обрабатывают данные для приёма платежа, проверки операции, фискализации, выплаты и возврата. При использовании ЮKassa соответствующие функции выполняет ООО НКО «ЮМани» и, когда применимо, привлечённые им участники расчётов.</w:t>
            </w:r>
          </w:p>
        </w:tc>
      </w:tr>
      <w:tr>
        <w:trPr>
          <w:cantSplit w:val="true"/>
        </w:trPr>
        <w:tc>
          <w:tcPr>
            <w:tcW w:type="dxa" w:w="3050"/>
            <w:tcMar>
              <w:top w:w="80" w:type="dxa"/>
              <w:start w:w="120" w:type="dxa"/>
              <w:bottom w:w="80" w:type="dxa"/>
              <w:end w:w="120" w:type="dxa"/>
            </w:tcMar>
            <w:vAlign w:val="center"/>
          </w:tcPr>
          <w:p>
            <w:pPr>
              <w:spacing w:after="0" w:line="240" w:lineRule="auto"/>
            </w:pPr>
            <w:r>
              <w:rPr>
                <w:rFonts w:ascii="Calibri" w:hAnsi="Calibri" w:eastAsia="Calibri"/>
                <w:color w:val="1F1F1F"/>
                <w:sz w:val="18"/>
              </w:rPr>
              <w:t>ИТ-, хостинг- и коммуникационные подрядчики</w:t>
            </w:r>
          </w:p>
        </w:tc>
        <w:tc>
          <w:tcPr>
            <w:tcW w:type="dxa" w:w="6310"/>
            <w:tcMar>
              <w:top w:w="80" w:type="dxa"/>
              <w:start w:w="120" w:type="dxa"/>
              <w:bottom w:w="80" w:type="dxa"/>
              <w:end w:w="120" w:type="dxa"/>
            </w:tcMar>
            <w:vAlign w:val="center"/>
          </w:tcPr>
          <w:p>
            <w:pPr>
              <w:spacing w:after="0" w:line="240" w:lineRule="auto"/>
            </w:pPr>
            <w:r>
              <w:rPr>
                <w:rFonts w:ascii="Calibri" w:hAnsi="Calibri" w:eastAsia="Calibri"/>
                <w:color w:val="1F1F1F"/>
                <w:sz w:val="18"/>
              </w:rPr>
              <w:t>Могут обрабатывать данные по поручению Оператора для эксплуатации и защиты инфраструктуры, резервного копирования и поддержки. Корпоративная система Битрикс24 размещается на инфраструктуре Оператора.</w:t>
            </w:r>
          </w:p>
        </w:tc>
      </w:tr>
      <w:tr>
        <w:trPr>
          <w:cantSplit w:val="true"/>
        </w:trPr>
        <w:tc>
          <w:tcPr>
            <w:tcW w:type="dxa" w:w="3050"/>
            <w:tcMar>
              <w:top w:w="80" w:type="dxa"/>
              <w:start w:w="120" w:type="dxa"/>
              <w:bottom w:w="80" w:type="dxa"/>
              <w:end w:w="120" w:type="dxa"/>
            </w:tcMar>
            <w:vAlign w:val="center"/>
          </w:tcPr>
          <w:p>
            <w:pPr>
              <w:spacing w:after="0" w:line="240" w:lineRule="auto"/>
            </w:pPr>
            <w:r>
              <w:rPr>
                <w:rFonts w:ascii="Calibri" w:hAnsi="Calibri" w:eastAsia="Calibri"/>
                <w:color w:val="1F1F1F"/>
                <w:sz w:val="18"/>
              </w:rPr>
              <w:t>Государственные органы, суды и иные уполномоченные лица</w:t>
            </w:r>
          </w:p>
        </w:tc>
        <w:tc>
          <w:tcPr>
            <w:tcW w:type="dxa" w:w="6310"/>
            <w:tcMar>
              <w:top w:w="80" w:type="dxa"/>
              <w:start w:w="120" w:type="dxa"/>
              <w:bottom w:w="80" w:type="dxa"/>
              <w:end w:w="120" w:type="dxa"/>
            </w:tcMar>
            <w:vAlign w:val="center"/>
          </w:tcPr>
          <w:p>
            <w:pPr>
              <w:spacing w:after="0" w:line="240" w:lineRule="auto"/>
            </w:pPr>
            <w:r>
              <w:rPr>
                <w:rFonts w:ascii="Calibri" w:hAnsi="Calibri" w:eastAsia="Calibri"/>
                <w:color w:val="1F1F1F"/>
                <w:sz w:val="18"/>
              </w:rPr>
              <w:t>Данные предоставляются в составе и порядке, прямо предусмотренных законом, обязательным запросом или необходимостью защиты прав Оператора и участников сделки.</w:t>
            </w:r>
          </w:p>
        </w:tc>
      </w:tr>
    </w:tbl>
    <w:p>
      <w:pPr>
        <w:spacing w:before="80" w:after="0"/>
      </w:pPr>
    </w:p>
    <w:p>
      <w:pPr>
        <w:pStyle w:val="Clause"/>
        <w:keepLines/>
        <w:widowControl/>
      </w:pPr>
      <w:r>
        <w:rPr>
          <w:rFonts w:ascii="Calibri" w:hAnsi="Calibri" w:eastAsia="Calibri"/>
          <w:b/>
          <w:color w:val="1F1F1F"/>
          <w:sz w:val="22"/>
        </w:rPr>
        <w:t xml:space="preserve">5.1. </w:t>
      </w:r>
      <w:r>
        <w:rPr>
          <w:rFonts w:ascii="Calibri" w:hAnsi="Calibri" w:eastAsia="Calibri"/>
          <w:color w:val="1F1F1F"/>
          <w:sz w:val="22"/>
        </w:rPr>
        <w:t>Оператор передаёт только тот объём данных, который объективно необходим получателю для соответствующей цели, и применяет договорные, организационные и технические меры конфиденциальности.</w:t>
      </w:r>
    </w:p>
    <w:p>
      <w:pPr>
        <w:pStyle w:val="Clause"/>
        <w:keepLines/>
        <w:widowControl/>
      </w:pPr>
      <w:r>
        <w:rPr>
          <w:rFonts w:ascii="Calibri" w:hAnsi="Calibri" w:eastAsia="Calibri"/>
          <w:b/>
          <w:color w:val="1F1F1F"/>
          <w:sz w:val="22"/>
        </w:rPr>
        <w:t xml:space="preserve">5.2. </w:t>
      </w:r>
      <w:r>
        <w:rPr>
          <w:rFonts w:ascii="Calibri" w:hAnsi="Calibri" w:eastAsia="Calibri"/>
          <w:color w:val="1F1F1F"/>
          <w:sz w:val="22"/>
        </w:rPr>
        <w:t>При оформлении заказа идентификационные данные выбранного поставщика отображаются в карточке товара, заказе, счёте, договоре или ином интерфейсе до подтверждения сделки либо предоставляются по запросу пользователя.</w:t>
      </w:r>
    </w:p>
    <w:p>
      <w:pPr>
        <w:pStyle w:val="Clause"/>
        <w:keepLines/>
        <w:widowControl/>
      </w:pPr>
      <w:r>
        <w:rPr>
          <w:rFonts w:ascii="Calibri" w:hAnsi="Calibri" w:eastAsia="Calibri"/>
          <w:b/>
          <w:color w:val="1F1F1F"/>
          <w:sz w:val="22"/>
        </w:rPr>
        <w:t xml:space="preserve">5.3. </w:t>
      </w:r>
      <w:r>
        <w:rPr>
          <w:rFonts w:ascii="Calibri" w:hAnsi="Calibri" w:eastAsia="Calibri"/>
          <w:color w:val="1F1F1F"/>
          <w:sz w:val="22"/>
        </w:rPr>
        <w:t>Передача данных третьему лицу для его самостоятельного маркетинга не осуществляется без отдельного законного основания и отдельного согласия субъекта.</w:t>
      </w:r>
    </w:p>
    <w:p>
      <w:pPr>
        <w:pStyle w:val="Heading1"/>
      </w:pPr>
      <w:r>
        <w:t>6. Особенности маркетплейса и расчётов</w:t>
      </w:r>
    </w:p>
    <w:p>
      <w:pPr>
        <w:pStyle w:val="Clause"/>
        <w:keepLines/>
        <w:widowControl/>
      </w:pPr>
      <w:r>
        <w:rPr>
          <w:rFonts w:ascii="Calibri" w:hAnsi="Calibri" w:eastAsia="Calibri"/>
          <w:b/>
          <w:color w:val="1F1F1F"/>
          <w:sz w:val="22"/>
        </w:rPr>
        <w:t xml:space="preserve">6.1. </w:t>
      </w:r>
      <w:r>
        <w:rPr>
          <w:rFonts w:ascii="Calibri" w:hAnsi="Calibri" w:eastAsia="Calibri"/>
          <w:color w:val="1F1F1F"/>
          <w:sz w:val="22"/>
        </w:rPr>
        <w:t>В агентской модели договор купли-продажи товара заключается между покупателем и поставщиком. Оператор организует взаимодействие сторон и принимает оплату как агент поставщика в соответствии с условиями сделки.</w:t>
      </w:r>
    </w:p>
    <w:p>
      <w:pPr>
        <w:pStyle w:val="Clause"/>
        <w:keepLines/>
        <w:widowControl/>
      </w:pPr>
      <w:r>
        <w:rPr>
          <w:rFonts w:ascii="Calibri" w:hAnsi="Calibri" w:eastAsia="Calibri"/>
          <w:b/>
          <w:color w:val="1F1F1F"/>
          <w:sz w:val="22"/>
        </w:rPr>
        <w:t xml:space="preserve">6.2. </w:t>
      </w:r>
      <w:r>
        <w:rPr>
          <w:rFonts w:ascii="Calibri" w:hAnsi="Calibri" w:eastAsia="Calibri"/>
          <w:color w:val="1F1F1F"/>
          <w:sz w:val="22"/>
        </w:rPr>
        <w:t>Для исполнения заказа Оператор связывает данные покупателя с данными заказа и передаёт их конкретному поставщику. Если заказ содержит товары разных поставщиков, каждому поставщику передаётся только относящаяся к нему часть заказа и необходимые контактные данные.</w:t>
      </w:r>
    </w:p>
    <w:p>
      <w:pPr>
        <w:pStyle w:val="Clause"/>
        <w:keepLines/>
        <w:widowControl/>
      </w:pPr>
      <w:r>
        <w:rPr>
          <w:rFonts w:ascii="Calibri" w:hAnsi="Calibri" w:eastAsia="Calibri"/>
          <w:b/>
          <w:color w:val="1F1F1F"/>
          <w:sz w:val="22"/>
        </w:rPr>
        <w:t xml:space="preserve">6.3. </w:t>
      </w:r>
      <w:r>
        <w:rPr>
          <w:rFonts w:ascii="Calibri" w:hAnsi="Calibri" w:eastAsia="Calibri"/>
          <w:color w:val="1F1F1F"/>
          <w:sz w:val="22"/>
        </w:rPr>
        <w:t>Платёжная информация обрабатывается платёжным оператором и банками по их правилам. Пользователю следует ознакомиться с их документами до оплаты. Оператор получает результат платежа и данные, необходимые для учёта, выплаты поставщику и возврата.</w:t>
      </w:r>
    </w:p>
    <w:p>
      <w:pPr>
        <w:pStyle w:val="Heading1"/>
      </w:pPr>
      <w:r>
        <w:t>7. Cookies и данные об использовании Сайта</w:t>
      </w:r>
    </w:p>
    <w:p>
      <w:pPr>
        <w:pStyle w:val="Clause"/>
        <w:keepLines/>
        <w:widowControl/>
      </w:pPr>
      <w:r>
        <w:rPr>
          <w:rFonts w:ascii="Calibri" w:hAnsi="Calibri" w:eastAsia="Calibri"/>
          <w:b/>
          <w:color w:val="1F1F1F"/>
          <w:sz w:val="22"/>
        </w:rPr>
        <w:t xml:space="preserve">7.1. </w:t>
      </w:r>
      <w:r>
        <w:rPr>
          <w:rFonts w:ascii="Calibri" w:hAnsi="Calibri" w:eastAsia="Calibri"/>
          <w:color w:val="1F1F1F"/>
          <w:sz w:val="22"/>
        </w:rPr>
        <w:t>Сайт может применять строго необходимые cookies для работы сеанса, корзины, авторизации, защиты от злоупотреблений и сохранения выбора пользователя. Необязательные функциональные, аналитические или рекламные cookies применяются только при наличии надлежащего основания и, когда требуется, отдельного согласия.</w:t>
      </w:r>
    </w:p>
    <w:p>
      <w:pPr>
        <w:pStyle w:val="Clause"/>
        <w:keepLines/>
        <w:widowControl/>
      </w:pPr>
      <w:r>
        <w:rPr>
          <w:rFonts w:ascii="Calibri" w:hAnsi="Calibri" w:eastAsia="Calibri"/>
          <w:b/>
          <w:color w:val="1F1F1F"/>
          <w:sz w:val="22"/>
        </w:rPr>
        <w:t xml:space="preserve">7.2. </w:t>
      </w:r>
      <w:r>
        <w:rPr>
          <w:rFonts w:ascii="Calibri" w:hAnsi="Calibri" w:eastAsia="Calibri"/>
          <w:color w:val="1F1F1F"/>
          <w:sz w:val="22"/>
        </w:rPr>
        <w:t>Подробности о категориях cookies, настройках и сроках приведены в Политике использования cookies PROMTA.PRO. Пользователь может изменить выбор в интерфейсе настроек cookies и в браузере.</w:t>
      </w:r>
    </w:p>
    <w:p>
      <w:pPr>
        <w:pStyle w:val="Heading1"/>
      </w:pPr>
      <w:r>
        <w:t>8. Локализация и трансграничная передача</w:t>
      </w:r>
    </w:p>
    <w:p>
      <w:pPr>
        <w:pStyle w:val="Clause"/>
        <w:keepLines/>
        <w:widowControl/>
      </w:pPr>
      <w:r>
        <w:rPr>
          <w:rFonts w:ascii="Calibri" w:hAnsi="Calibri" w:eastAsia="Calibri"/>
          <w:b/>
          <w:color w:val="1F1F1F"/>
          <w:sz w:val="22"/>
        </w:rPr>
        <w:t xml:space="preserve">8.1. </w:t>
      </w:r>
      <w:r>
        <w:rPr>
          <w:rFonts w:ascii="Calibri" w:hAnsi="Calibri" w:eastAsia="Calibri"/>
          <w:color w:val="1F1F1F"/>
          <w:sz w:val="22"/>
        </w:rPr>
        <w:t>При сборе через Интернет персональных данных граждан Российской Федерации Оператор обеспечивает запись, систематизацию, накопление, хранение, уточнение и извлечение с использованием баз данных, находящихся на территории Российской Федерации, в случаях и пределах, установленных законом.</w:t>
      </w:r>
    </w:p>
    <w:p>
      <w:pPr>
        <w:pStyle w:val="Clause"/>
        <w:keepLines/>
        <w:widowControl/>
      </w:pPr>
      <w:r>
        <w:rPr>
          <w:rFonts w:ascii="Calibri" w:hAnsi="Calibri" w:eastAsia="Calibri"/>
          <w:b/>
          <w:color w:val="1F1F1F"/>
          <w:sz w:val="22"/>
        </w:rPr>
        <w:t xml:space="preserve">8.2. </w:t>
      </w:r>
      <w:r>
        <w:rPr>
          <w:rFonts w:ascii="Calibri" w:hAnsi="Calibri" w:eastAsia="Calibri"/>
          <w:color w:val="1F1F1F"/>
          <w:sz w:val="22"/>
        </w:rPr>
        <w:t>Оператор не планирует трансграничную передачу как стандартный элемент работы PROMTA.PRO. До начала такой передачи Оператор определяет правовое основание, получает необходимые сведения от иностранного получателя, выполняет требования к уведомлению Роскомнадзора и размещает актуальную информацию в документах Сайта.</w:t>
      </w:r>
    </w:p>
    <w:p>
      <w:pPr>
        <w:pStyle w:val="Clause"/>
        <w:keepLines/>
        <w:widowControl/>
      </w:pPr>
      <w:r>
        <w:rPr>
          <w:rFonts w:ascii="Calibri" w:hAnsi="Calibri" w:eastAsia="Calibri"/>
          <w:b/>
          <w:color w:val="1F1F1F"/>
          <w:sz w:val="22"/>
        </w:rPr>
        <w:t xml:space="preserve">8.3. </w:t>
      </w:r>
      <w:r>
        <w:rPr>
          <w:rFonts w:ascii="Calibri" w:hAnsi="Calibri" w:eastAsia="Calibri"/>
          <w:color w:val="1F1F1F"/>
          <w:sz w:val="22"/>
        </w:rPr>
        <w:t>Если подключаемый сервис предполагает доступ к данным с территории иностранного государства, он не вводится в эксплуатацию до проведения правовой и технической проверки такой передачи.</w:t>
      </w:r>
    </w:p>
    <w:p>
      <w:pPr>
        <w:pStyle w:val="Heading1"/>
      </w:pPr>
      <w:r>
        <w:t>9. Сроки хранения, блокирование и уничтожение</w:t>
      </w:r>
    </w:p>
    <w:tbl>
      <w:tblPr>
        <w:tblStyle w:val="TableGrid"/>
        <w:tblW w:type="dxa" w:w="9360"/>
        <w:jc w:val="left"/>
        <w:tblLayout w:type="fixed"/>
        <w:tblLook w:firstColumn="1" w:firstRow="1" w:lastColumn="0" w:lastRow="0" w:noHBand="0" w:noVBand="1" w:val="04A0"/>
        <w:tblInd w:w="120" w:type="dxa"/>
      </w:tblPr>
      <w:tblGrid>
        <w:gridCol w:w="3100"/>
        <w:gridCol w:w="6260"/>
      </w:tblGrid>
      <w:tr>
        <w:trPr>
          <w:tblHeader w:val="true"/>
        </w:trPr>
        <w:tc>
          <w:tcPr>
            <w:tcW w:type="dxa" w:w="310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Категория</w:t>
            </w:r>
          </w:p>
        </w:tc>
        <w:tc>
          <w:tcPr>
            <w:tcW w:type="dxa" w:w="626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Критерий срока хранения</w:t>
            </w:r>
          </w:p>
        </w:tc>
      </w:tr>
      <w:tr>
        <w:trPr>
          <w:cantSplit w:val="true"/>
        </w:trPr>
        <w:tc>
          <w:tcPr>
            <w:tcW w:type="dxa" w:w="3100"/>
            <w:tcMar>
              <w:top w:w="80" w:type="dxa"/>
              <w:start w:w="120" w:type="dxa"/>
              <w:bottom w:w="80" w:type="dxa"/>
              <w:end w:w="120" w:type="dxa"/>
            </w:tcMar>
            <w:vAlign w:val="center"/>
          </w:tcPr>
          <w:p>
            <w:pPr>
              <w:spacing w:after="0" w:line="240" w:lineRule="auto"/>
            </w:pPr>
            <w:r>
              <w:rPr>
                <w:rFonts w:ascii="Calibri" w:hAnsi="Calibri" w:eastAsia="Calibri"/>
                <w:color w:val="1F1F1F"/>
                <w:sz w:val="18"/>
              </w:rPr>
              <w:t>Учётная запись</w:t>
            </w:r>
          </w:p>
        </w:tc>
        <w:tc>
          <w:tcPr>
            <w:tcW w:type="dxa" w:w="6260"/>
            <w:tcMar>
              <w:top w:w="80" w:type="dxa"/>
              <w:start w:w="120" w:type="dxa"/>
              <w:bottom w:w="80" w:type="dxa"/>
              <w:end w:w="120" w:type="dxa"/>
            </w:tcMar>
            <w:vAlign w:val="center"/>
          </w:tcPr>
          <w:p>
            <w:pPr>
              <w:spacing w:after="0" w:line="240" w:lineRule="auto"/>
            </w:pPr>
            <w:r>
              <w:rPr>
                <w:rFonts w:ascii="Calibri" w:hAnsi="Calibri" w:eastAsia="Calibri"/>
                <w:color w:val="1F1F1F"/>
                <w:sz w:val="18"/>
              </w:rPr>
              <w:t>До удаления учётной записи или прекращения работы сервиса, затем — в течение срока, необходимого для завершения взаиморасчётов, рассмотрения требований и соблюдения закона.</w:t>
            </w:r>
          </w:p>
        </w:tc>
      </w:tr>
      <w:tr>
        <w:trPr>
          <w:cantSplit w:val="true"/>
        </w:trPr>
        <w:tc>
          <w:tcPr>
            <w:tcW w:type="dxa" w:w="3100"/>
            <w:tcMar>
              <w:top w:w="80" w:type="dxa"/>
              <w:start w:w="120" w:type="dxa"/>
              <w:bottom w:w="80" w:type="dxa"/>
              <w:end w:w="120" w:type="dxa"/>
            </w:tcMar>
            <w:vAlign w:val="center"/>
          </w:tcPr>
          <w:p>
            <w:pPr>
              <w:spacing w:after="0" w:line="240" w:lineRule="auto"/>
            </w:pPr>
            <w:r>
              <w:rPr>
                <w:rFonts w:ascii="Calibri" w:hAnsi="Calibri" w:eastAsia="Calibri"/>
                <w:color w:val="1F1F1F"/>
                <w:sz w:val="18"/>
              </w:rPr>
              <w:t>Заказы, договоры, расчёты и первичные документы</w:t>
            </w:r>
          </w:p>
        </w:tc>
        <w:tc>
          <w:tcPr>
            <w:tcW w:type="dxa" w:w="6260"/>
            <w:tcMar>
              <w:top w:w="80" w:type="dxa"/>
              <w:start w:w="120" w:type="dxa"/>
              <w:bottom w:w="80" w:type="dxa"/>
              <w:end w:w="120" w:type="dxa"/>
            </w:tcMar>
            <w:vAlign w:val="center"/>
          </w:tcPr>
          <w:p>
            <w:pPr>
              <w:spacing w:after="0" w:line="240" w:lineRule="auto"/>
            </w:pPr>
            <w:r>
              <w:rPr>
                <w:rFonts w:ascii="Calibri" w:hAnsi="Calibri" w:eastAsia="Calibri"/>
                <w:color w:val="1F1F1F"/>
                <w:sz w:val="18"/>
              </w:rPr>
              <w:t>В течение срока исполнения сделки и обязательных сроков хранения бухгалтерских, налоговых и иных юридически значимых документов.</w:t>
            </w:r>
          </w:p>
        </w:tc>
      </w:tr>
      <w:tr>
        <w:trPr>
          <w:cantSplit w:val="true"/>
        </w:trPr>
        <w:tc>
          <w:tcPr>
            <w:tcW w:type="dxa" w:w="3100"/>
            <w:tcMar>
              <w:top w:w="80" w:type="dxa"/>
              <w:start w:w="120" w:type="dxa"/>
              <w:bottom w:w="80" w:type="dxa"/>
              <w:end w:w="120" w:type="dxa"/>
            </w:tcMar>
            <w:vAlign w:val="center"/>
          </w:tcPr>
          <w:p>
            <w:pPr>
              <w:spacing w:after="0" w:line="240" w:lineRule="auto"/>
            </w:pPr>
            <w:r>
              <w:rPr>
                <w:rFonts w:ascii="Calibri" w:hAnsi="Calibri" w:eastAsia="Calibri"/>
                <w:color w:val="1F1F1F"/>
                <w:sz w:val="18"/>
              </w:rPr>
              <w:t>Переписка, претензии, возвраты и гарантийные обращения</w:t>
            </w:r>
          </w:p>
        </w:tc>
        <w:tc>
          <w:tcPr>
            <w:tcW w:type="dxa" w:w="6260"/>
            <w:tcMar>
              <w:top w:w="80" w:type="dxa"/>
              <w:start w:w="120" w:type="dxa"/>
              <w:bottom w:w="80" w:type="dxa"/>
              <w:end w:w="120" w:type="dxa"/>
            </w:tcMar>
            <w:vAlign w:val="center"/>
          </w:tcPr>
          <w:p>
            <w:pPr>
              <w:spacing w:after="0" w:line="240" w:lineRule="auto"/>
            </w:pPr>
            <w:r>
              <w:rPr>
                <w:rFonts w:ascii="Calibri" w:hAnsi="Calibri" w:eastAsia="Calibri"/>
                <w:color w:val="1F1F1F"/>
                <w:sz w:val="18"/>
              </w:rPr>
              <w:t>До завершения обращения и далее в пределах применимых сроков исковой давности и обязательного хранения.</w:t>
            </w:r>
          </w:p>
        </w:tc>
      </w:tr>
      <w:tr>
        <w:trPr>
          <w:cantSplit w:val="true"/>
        </w:trPr>
        <w:tc>
          <w:tcPr>
            <w:tcW w:type="dxa" w:w="3100"/>
            <w:tcMar>
              <w:top w:w="80" w:type="dxa"/>
              <w:start w:w="120" w:type="dxa"/>
              <w:bottom w:w="80" w:type="dxa"/>
              <w:end w:w="120" w:type="dxa"/>
            </w:tcMar>
            <w:vAlign w:val="center"/>
          </w:tcPr>
          <w:p>
            <w:pPr>
              <w:spacing w:after="0" w:line="240" w:lineRule="auto"/>
            </w:pPr>
            <w:r>
              <w:rPr>
                <w:rFonts w:ascii="Calibri" w:hAnsi="Calibri" w:eastAsia="Calibri"/>
                <w:color w:val="1F1F1F"/>
                <w:sz w:val="18"/>
              </w:rPr>
              <w:t>Журналы безопасности и технические события</w:t>
            </w:r>
          </w:p>
        </w:tc>
        <w:tc>
          <w:tcPr>
            <w:tcW w:type="dxa" w:w="6260"/>
            <w:tcMar>
              <w:top w:w="80" w:type="dxa"/>
              <w:start w:w="120" w:type="dxa"/>
              <w:bottom w:w="80" w:type="dxa"/>
              <w:end w:w="120" w:type="dxa"/>
            </w:tcMar>
            <w:vAlign w:val="center"/>
          </w:tcPr>
          <w:p>
            <w:pPr>
              <w:spacing w:after="0" w:line="240" w:lineRule="auto"/>
            </w:pPr>
            <w:r>
              <w:rPr>
                <w:rFonts w:ascii="Calibri" w:hAnsi="Calibri" w:eastAsia="Calibri"/>
                <w:color w:val="1F1F1F"/>
                <w:sz w:val="18"/>
              </w:rPr>
              <w:t>В течение периода, объективно необходимого для расследования инцидентов, защиты Сайта и исполнения требований закона.</w:t>
            </w:r>
          </w:p>
        </w:tc>
      </w:tr>
      <w:tr>
        <w:trPr>
          <w:cantSplit w:val="true"/>
        </w:trPr>
        <w:tc>
          <w:tcPr>
            <w:tcW w:type="dxa" w:w="3100"/>
            <w:tcMar>
              <w:top w:w="80" w:type="dxa"/>
              <w:start w:w="120" w:type="dxa"/>
              <w:bottom w:w="80" w:type="dxa"/>
              <w:end w:w="120" w:type="dxa"/>
            </w:tcMar>
            <w:vAlign w:val="center"/>
          </w:tcPr>
          <w:p>
            <w:pPr>
              <w:spacing w:after="0" w:line="240" w:lineRule="auto"/>
            </w:pPr>
            <w:r>
              <w:rPr>
                <w:rFonts w:ascii="Calibri" w:hAnsi="Calibri" w:eastAsia="Calibri"/>
                <w:color w:val="1F1F1F"/>
                <w:sz w:val="18"/>
              </w:rPr>
              <w:t>Необязательные cookies</w:t>
            </w:r>
          </w:p>
        </w:tc>
        <w:tc>
          <w:tcPr>
            <w:tcW w:type="dxa" w:w="6260"/>
            <w:tcMar>
              <w:top w:w="80" w:type="dxa"/>
              <w:start w:w="120" w:type="dxa"/>
              <w:bottom w:w="80" w:type="dxa"/>
              <w:end w:w="120" w:type="dxa"/>
            </w:tcMar>
            <w:vAlign w:val="center"/>
          </w:tcPr>
          <w:p>
            <w:pPr>
              <w:spacing w:after="0" w:line="240" w:lineRule="auto"/>
            </w:pPr>
            <w:r>
              <w:rPr>
                <w:rFonts w:ascii="Calibri" w:hAnsi="Calibri" w:eastAsia="Calibri"/>
                <w:color w:val="1F1F1F"/>
                <w:sz w:val="18"/>
              </w:rPr>
              <w:t>До истечения срока конкретного cookie, удаления пользователем или отзыва согласия; актуальный срок указывается в настройках cookies.</w:t>
            </w:r>
          </w:p>
        </w:tc>
      </w:tr>
    </w:tbl>
    <w:p>
      <w:pPr>
        <w:spacing w:before="80" w:after="0"/>
      </w:pPr>
    </w:p>
    <w:p>
      <w:pPr>
        <w:pStyle w:val="Clause"/>
        <w:keepLines/>
        <w:widowControl/>
      </w:pPr>
      <w:r>
        <w:rPr>
          <w:rFonts w:ascii="Calibri" w:hAnsi="Calibri" w:eastAsia="Calibri"/>
          <w:b/>
          <w:color w:val="1F1F1F"/>
          <w:sz w:val="22"/>
        </w:rPr>
        <w:t xml:space="preserve">9.1. </w:t>
      </w:r>
      <w:r>
        <w:rPr>
          <w:rFonts w:ascii="Calibri" w:hAnsi="Calibri" w:eastAsia="Calibri"/>
          <w:color w:val="1F1F1F"/>
          <w:sz w:val="22"/>
        </w:rPr>
        <w:t>После достижения цели либо прекращения основания данные удаляются или уничтожаются, если их дальнейшее хранение не требуется законом, договором или для защиты прав. При невозможности немедленного уничтожения данные блокируются до устранения причины.</w:t>
      </w:r>
    </w:p>
    <w:p>
      <w:pPr>
        <w:pStyle w:val="Clause"/>
        <w:keepLines/>
        <w:widowControl/>
      </w:pPr>
      <w:r>
        <w:rPr>
          <w:rFonts w:ascii="Calibri" w:hAnsi="Calibri" w:eastAsia="Calibri"/>
          <w:b/>
          <w:color w:val="1F1F1F"/>
          <w:sz w:val="22"/>
        </w:rPr>
        <w:t xml:space="preserve">9.2. </w:t>
      </w:r>
      <w:r>
        <w:rPr>
          <w:rFonts w:ascii="Calibri" w:hAnsi="Calibri" w:eastAsia="Calibri"/>
          <w:color w:val="1F1F1F"/>
          <w:sz w:val="22"/>
        </w:rPr>
        <w:t>Данные в резервных копиях выводятся из активного использования и уничтожаются по установленному циклу обновления копий, если иной срок не требуется для обеспечения целостности или по закону.</w:t>
      </w:r>
    </w:p>
    <w:p>
      <w:pPr>
        <w:pStyle w:val="Heading1"/>
      </w:pPr>
      <w:r>
        <w:t>10. Права субъекта и порядок обращения</w:t>
      </w:r>
    </w:p>
    <w:p>
      <w:pPr>
        <w:pStyle w:val="Clause"/>
        <w:keepLines/>
        <w:widowControl/>
      </w:pPr>
      <w:r>
        <w:rPr>
          <w:rFonts w:ascii="Calibri" w:hAnsi="Calibri" w:eastAsia="Calibri"/>
          <w:b/>
          <w:color w:val="1F1F1F"/>
          <w:sz w:val="22"/>
        </w:rPr>
        <w:t xml:space="preserve">10.1. </w:t>
      </w:r>
      <w:r>
        <w:rPr>
          <w:rFonts w:ascii="Calibri" w:hAnsi="Calibri" w:eastAsia="Calibri"/>
          <w:color w:val="1F1F1F"/>
          <w:sz w:val="22"/>
        </w:rPr>
        <w:t>Субъект вправе получать сведения об обработке своих данных, требовать уточнения, блокирования или уничтожения неполных, устаревших, неточных, незаконно полученных или ненужных данных, отзывать согласие, возражать против обработки в предусмотренных законом случаях и обжаловать действия Оператора в Роскомнадзор или суд.</w:t>
      </w:r>
    </w:p>
    <w:p>
      <w:pPr>
        <w:pStyle w:val="Clause"/>
        <w:keepLines/>
        <w:widowControl/>
      </w:pPr>
      <w:r>
        <w:rPr>
          <w:rFonts w:ascii="Calibri" w:hAnsi="Calibri" w:eastAsia="Calibri"/>
          <w:b/>
          <w:color w:val="1F1F1F"/>
          <w:sz w:val="22"/>
        </w:rPr>
        <w:t xml:space="preserve">10.2. </w:t>
      </w:r>
      <w:r>
        <w:rPr>
          <w:rFonts w:ascii="Calibri" w:hAnsi="Calibri" w:eastAsia="Calibri"/>
          <w:color w:val="1F1F1F"/>
          <w:sz w:val="22"/>
        </w:rPr>
        <w:t>Обращение направляется на pt24@pt24.ru либо по адресу Оператора. В обращении необходимо указать сведения, позволяющие подтвердить личность и отношения с Оператором, описать требование и, когда требуется, подписать обращение собственноручной или электронной подписью.</w:t>
      </w:r>
    </w:p>
    <w:p>
      <w:pPr>
        <w:pStyle w:val="Clause"/>
        <w:keepLines/>
        <w:widowControl/>
      </w:pPr>
      <w:r>
        <w:rPr>
          <w:rFonts w:ascii="Calibri" w:hAnsi="Calibri" w:eastAsia="Calibri"/>
          <w:b/>
          <w:color w:val="1F1F1F"/>
          <w:sz w:val="22"/>
        </w:rPr>
        <w:t xml:space="preserve">10.3. </w:t>
      </w:r>
      <w:r>
        <w:rPr>
          <w:rFonts w:ascii="Calibri" w:hAnsi="Calibri" w:eastAsia="Calibri"/>
          <w:color w:val="1F1F1F"/>
          <w:sz w:val="22"/>
        </w:rPr>
        <w:t>Оператор вправе запросить дополнительные сведения исключительно для подтверждения личности заявителя, полномочий представителя и предотвращения раскрытия данных постороннему лицу.</w:t>
      </w:r>
    </w:p>
    <w:p>
      <w:pPr>
        <w:pStyle w:val="Clause"/>
        <w:keepLines/>
        <w:widowControl/>
      </w:pPr>
      <w:r>
        <w:rPr>
          <w:rFonts w:ascii="Calibri" w:hAnsi="Calibri" w:eastAsia="Calibri"/>
          <w:b/>
          <w:color w:val="1F1F1F"/>
          <w:sz w:val="22"/>
        </w:rPr>
        <w:t xml:space="preserve">10.4. </w:t>
      </w:r>
      <w:r>
        <w:rPr>
          <w:rFonts w:ascii="Calibri" w:hAnsi="Calibri" w:eastAsia="Calibri"/>
          <w:color w:val="1F1F1F"/>
          <w:sz w:val="22"/>
        </w:rPr>
        <w:t>Ответ, уточнение, блокирование или прекращение обработки выполняются в сроки и порядке, установленные законодательством Российской Федерации. Если требование не может быть исполнено полностью, Оператор сообщает мотивированное основание.</w:t>
      </w:r>
    </w:p>
    <w:p>
      <w:pPr>
        <w:pStyle w:val="Heading1"/>
      </w:pPr>
      <w:r>
        <w:t>11. Защита данных и реагирование на инциденты</w:t>
      </w:r>
    </w:p>
    <w:p>
      <w:pPr>
        <w:pStyle w:val="Clause"/>
        <w:keepLines/>
        <w:widowControl/>
      </w:pPr>
      <w:r>
        <w:rPr>
          <w:rFonts w:ascii="Calibri" w:hAnsi="Calibri" w:eastAsia="Calibri"/>
          <w:b/>
          <w:color w:val="1F1F1F"/>
          <w:sz w:val="22"/>
        </w:rPr>
        <w:t xml:space="preserve">11.1. </w:t>
      </w:r>
      <w:r>
        <w:rPr>
          <w:rFonts w:ascii="Calibri" w:hAnsi="Calibri" w:eastAsia="Calibri"/>
          <w:color w:val="1F1F1F"/>
          <w:sz w:val="22"/>
        </w:rPr>
        <w:t>Оператор применяет необходимые правовые, организационные и технические меры с учётом характера данных, угроз и используемых информационных систем: разграничение доступа, идентификацию и аутентификацию, регистрацию событий, резервное копирование, обновление программного обеспечения, антивирусную защиту, обучение работников, договорные обязательства конфиденциальности и внутренний контроль.</w:t>
      </w:r>
    </w:p>
    <w:p>
      <w:pPr>
        <w:pStyle w:val="Clause"/>
        <w:keepLines/>
        <w:widowControl/>
      </w:pPr>
      <w:r>
        <w:rPr>
          <w:rFonts w:ascii="Calibri" w:hAnsi="Calibri" w:eastAsia="Calibri"/>
          <w:b/>
          <w:color w:val="1F1F1F"/>
          <w:sz w:val="22"/>
        </w:rPr>
        <w:t xml:space="preserve">11.2. </w:t>
      </w:r>
      <w:r>
        <w:rPr>
          <w:rFonts w:ascii="Calibri" w:hAnsi="Calibri" w:eastAsia="Calibri"/>
          <w:color w:val="1F1F1F"/>
          <w:sz w:val="22"/>
        </w:rPr>
        <w:t>Доступ предоставляется только работникам и подрядчикам, которым он необходим для должностных или договорных задач. Действия с данными подлежат контролю в объёме, соответствующем уровню риска.</w:t>
      </w:r>
    </w:p>
    <w:p>
      <w:pPr>
        <w:pStyle w:val="Clause"/>
        <w:keepLines/>
        <w:widowControl/>
      </w:pPr>
      <w:r>
        <w:rPr>
          <w:rFonts w:ascii="Calibri" w:hAnsi="Calibri" w:eastAsia="Calibri"/>
          <w:b/>
          <w:color w:val="1F1F1F"/>
          <w:sz w:val="22"/>
        </w:rPr>
        <w:t xml:space="preserve">11.3. </w:t>
      </w:r>
      <w:r>
        <w:rPr>
          <w:rFonts w:ascii="Calibri" w:hAnsi="Calibri" w:eastAsia="Calibri"/>
          <w:color w:val="1F1F1F"/>
          <w:sz w:val="22"/>
        </w:rPr>
        <w:t>При выявлении инцидента, повлекшего нарушение прав субъектов, Оператор проводит внутреннее расследование и уведомляет Роскомнадзор: первоначально — в течение 24 часов, о результатах расследования — в течение 72 часов, в объёме и порядке, предусмотренных законом.</w:t>
      </w:r>
    </w:p>
    <w:p>
      <w:pPr>
        <w:pStyle w:val="Clause"/>
        <w:keepLines/>
        <w:widowControl/>
      </w:pPr>
      <w:r>
        <w:rPr>
          <w:rFonts w:ascii="Calibri" w:hAnsi="Calibri" w:eastAsia="Calibri"/>
          <w:b/>
          <w:color w:val="1F1F1F"/>
          <w:sz w:val="22"/>
        </w:rPr>
        <w:t xml:space="preserve">11.4. </w:t>
      </w:r>
      <w:r>
        <w:rPr>
          <w:rFonts w:ascii="Calibri" w:hAnsi="Calibri" w:eastAsia="Calibri"/>
          <w:color w:val="1F1F1F"/>
          <w:sz w:val="22"/>
        </w:rPr>
        <w:t>Сообщения о предполагаемой уязвимости или утечке следует незамедлительно направлять на адрес pt24@pt24.ru с пометкой «Инцидент ПДн» без публикации данных в открытом доступе.</w:t>
      </w:r>
    </w:p>
    <w:p>
      <w:pPr>
        <w:pStyle w:val="Heading1"/>
      </w:pPr>
      <w:r>
        <w:t>12. Изменение Политики и заключительные положения</w:t>
      </w:r>
    </w:p>
    <w:p>
      <w:pPr>
        <w:pStyle w:val="Clause"/>
        <w:keepLines/>
        <w:widowControl/>
      </w:pPr>
      <w:r>
        <w:rPr>
          <w:rFonts w:ascii="Calibri" w:hAnsi="Calibri" w:eastAsia="Calibri"/>
          <w:b/>
          <w:color w:val="1F1F1F"/>
          <w:sz w:val="22"/>
        </w:rPr>
        <w:t xml:space="preserve">12.1. </w:t>
      </w:r>
      <w:r>
        <w:rPr>
          <w:rFonts w:ascii="Calibri" w:hAnsi="Calibri" w:eastAsia="Calibri"/>
          <w:color w:val="1F1F1F"/>
          <w:sz w:val="22"/>
        </w:rPr>
        <w:t>Оператор вправе изменять Политику при изменении закона, функциональности Сайта, состава получателей или способов обработки. Новая редакция действует с указанной в ней даты и размещается на Сайте.</w:t>
      </w:r>
    </w:p>
    <w:p>
      <w:pPr>
        <w:pStyle w:val="Clause"/>
        <w:keepLines/>
        <w:widowControl/>
      </w:pPr>
      <w:r>
        <w:rPr>
          <w:rFonts w:ascii="Calibri" w:hAnsi="Calibri" w:eastAsia="Calibri"/>
          <w:b/>
          <w:color w:val="1F1F1F"/>
          <w:sz w:val="22"/>
        </w:rPr>
        <w:t xml:space="preserve">12.2. </w:t>
      </w:r>
      <w:r>
        <w:rPr>
          <w:rFonts w:ascii="Calibri" w:hAnsi="Calibri" w:eastAsia="Calibri"/>
          <w:color w:val="1F1F1F"/>
          <w:sz w:val="22"/>
        </w:rPr>
        <w:t>Для ранее собранных данных применяется редакция, действующая на момент соответствующей обработки, если новая редакция не улучшает положение субъекта или не требуется законом. Если изменение требует нового согласия, Оператор запрашивает его отдельно.</w:t>
      </w:r>
    </w:p>
    <w:p>
      <w:pPr>
        <w:pStyle w:val="Clause"/>
        <w:keepLines/>
        <w:widowControl/>
      </w:pPr>
      <w:r>
        <w:rPr>
          <w:rFonts w:ascii="Calibri" w:hAnsi="Calibri" w:eastAsia="Calibri"/>
          <w:b/>
          <w:color w:val="1F1F1F"/>
          <w:sz w:val="22"/>
        </w:rPr>
        <w:t xml:space="preserve">12.3. </w:t>
      </w:r>
      <w:r>
        <w:rPr>
          <w:rFonts w:ascii="Calibri" w:hAnsi="Calibri" w:eastAsia="Calibri"/>
          <w:color w:val="1F1F1F"/>
          <w:sz w:val="22"/>
        </w:rPr>
        <w:t>Неотъемлемыми связанными документами являются отдельное Согласие на обработку персональных данных и Политика использования cookies PROMTA.PRO.</w:t>
      </w:r>
    </w:p>
    <w:p>
      <w:pPr>
        <w:pStyle w:val="Heading1"/>
      </w:pPr>
      <w:r>
        <w:t>13. Реквизиты Оператора</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blHeader w:val="true"/>
        </w:trPr>
        <w:tc>
          <w:tcPr>
            <w:tcW w:type="dxa" w:w="270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Реквизит</w:t>
            </w:r>
          </w:p>
        </w:tc>
        <w:tc>
          <w:tcPr>
            <w:tcW w:type="dxa" w:w="6660"/>
            <w:shd w:fill="F2F4F7"/>
            <w:tcMar>
              <w:top w:w="80" w:type="dxa"/>
              <w:start w:w="120" w:type="dxa"/>
              <w:bottom w:w="80" w:type="dxa"/>
              <w:end w:w="120" w:type="dxa"/>
            </w:tcMar>
            <w:vAlign w:val="center"/>
          </w:tcPr>
          <w:p>
            <w:pPr>
              <w:spacing w:after="0" w:line="240" w:lineRule="auto"/>
            </w:pPr>
            <w:r>
              <w:rPr>
                <w:rFonts w:ascii="Calibri" w:hAnsi="Calibri" w:eastAsia="Calibri"/>
                <w:b/>
                <w:color w:val="1F4D78"/>
                <w:sz w:val="19"/>
              </w:rPr>
              <w:t>Сведения</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Оператор</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Общество с ограниченной ответственностью «Пищевые технологии»</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Сокращённое наименование</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ООО «Пищевые технологии»</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ОГРН / ИНН / КПП</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1087746287221 / 7735538310 / 773501001</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Юридический адрес</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124482, Российская Федерация, г. Москва, внутригородская территория муниципальный округ Савёлки, г. Зеленоград, корп. 317А, стр. 1, помещ. 8Н</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Электронная почта</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pt24@pt24.ru</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Телефон</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+7 (499) 350-18-19</w:t>
            </w:r>
          </w:p>
        </w:tc>
      </w:tr>
      <w:tr>
        <w:trPr>
          <w:cantSplit w:val="true"/>
        </w:trPr>
        <w:tc>
          <w:tcPr>
            <w:tcW w:type="dxa" w:w="2700"/>
            <w:tcMar>
              <w:top w:w="80" w:type="dxa"/>
              <w:start w:w="120" w:type="dxa"/>
              <w:bottom w:w="80" w:type="dxa"/>
              <w:end w:w="120" w:type="dxa"/>
            </w:tcMar>
            <w:vAlign w:val="center"/>
          </w:tcPr>
          <w:p>
            <w:pPr>
              <w:spacing w:after="0" w:line="240" w:lineRule="auto"/>
            </w:pPr>
            <w:r>
              <w:rPr>
                <w:rFonts w:ascii="Calibri" w:hAnsi="Calibri" w:eastAsia="Calibri"/>
                <w:color w:val="1F1F1F"/>
                <w:sz w:val="18"/>
              </w:rPr>
              <w:t>Сайт</w:t>
            </w:r>
          </w:p>
        </w:tc>
        <w:tc>
          <w:tcPr>
            <w:tcW w:type="dxa" w:w="6660"/>
            <w:tcMar>
              <w:top w:w="80" w:type="dxa"/>
              <w:start w:w="120" w:type="dxa"/>
              <w:bottom w:w="80" w:type="dxa"/>
              <w:end w:w="120" w:type="dxa"/>
            </w:tcMar>
            <w:vAlign w:val="center"/>
          </w:tcPr>
          <w:p>
            <w:pPr>
              <w:spacing w:after="0" w:line="240" w:lineRule="auto"/>
            </w:pPr>
            <w:r>
              <w:rPr>
                <w:rFonts w:ascii="Calibri" w:hAnsi="Calibri" w:eastAsia="Calibri"/>
                <w:color w:val="1F1F1F"/>
                <w:sz w:val="18"/>
              </w:rPr>
              <w:t>https://promta.pro</w:t>
            </w:r>
          </w:p>
        </w:tc>
      </w:tr>
    </w:tbl>
    <w:p>
      <w:pPr>
        <w:spacing w:before="80" w:after="0"/>
      </w:pPr>
    </w:p>
    <w:p>
      <w:pPr>
        <w:pStyle w:val="LegalNote"/>
        <w:keepLines/>
        <w:widowControl/>
      </w:pPr>
      <w:r>
        <w:rPr>
          <w:rFonts w:ascii="Calibri" w:hAnsi="Calibri" w:eastAsia="Calibri"/>
          <w:color w:val="666666"/>
          <w:sz w:val="19"/>
        </w:rPr>
        <w:t>Нормативная основа: Федеральный закон от 27.07.2006 № 152-ФЗ «О персональных данных» в действующей редакции; рекомендации Роскомнадзора по составлению политики оператора.</w:t>
      </w:r>
    </w:p>
    <w:sectPr w:rsidR="00FC693F" w:rsidRPr="0006063C" w:rsidSect="00034616">
      <w:headerReference w:type="default" r:id="rId9"/>
      <w:headerReference w:type="even" r:id="rId10"/>
      <w:footerReference w:type="default" r:id="rId11"/>
      <w:footerReference w:type="even" r:id="rId1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
      <w:rPr>
        <w:rFonts w:ascii="Calibri" w:hAnsi="Calibri" w:eastAsia="Calibri"/>
        <w:color w:val="666666"/>
        <w:sz w:val="18"/>
      </w:rPr>
      <w:t xml:space="preserve">Страница </w:t>
      <w:fldChar w:fldCharType="begin"/>
      <w:instrText xml:space="preserve"> PAGE </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
      <w:rPr>
        <w:rFonts w:ascii="Calibri" w:hAnsi="Calibri" w:eastAsia="Calibri"/>
        <w:color w:val="666666"/>
        <w:sz w:val="18"/>
      </w:rPr>
      <w:t xml:space="preserve">Страница </w:t>
      <w:fldChar w:fldCharType="begin"/>
      <w:instrText xml:space="preserve"> PAGE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
      <w:rPr>
        <w:rFonts w:ascii="Calibri" w:hAnsi="Calibri" w:eastAsia="Calibri"/>
        <w:b/>
        <w:color w:val="666666"/>
        <w:sz w:val="18"/>
      </w:rPr>
      <w:t>PROMTA.PRO  |  Политика обработки персональных данных</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
      <w:rPr>
        <w:rFonts w:ascii="Calibri" w:hAnsi="Calibri" w:eastAsia="Calibri"/>
        <w:b/>
        <w:color w:val="666666"/>
        <w:sz w:val="18"/>
      </w:rPr>
      <w:t>PROMTA.PRO  |  Политика обработки персональных данных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eastAsia="Calibri"/>
      <w:color w:val="1F1F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widowControl/>
      <w:spacing w:after="120" w:line="264" w:lineRule="auto"/>
    </w:pPr>
  </w:style>
  <w:style w:type="paragraph" w:customStyle="1" w:styleId="LegalNote">
    <w:name w:val="Legal Note"/>
    <w:basedOn w:val="Normal"/>
    <w:pPr>
      <w:widowControl/>
      <w:spacing w:before="80" w:after="160" w:line="252" w:lineRule="auto"/>
    </w:pPr>
    <w:rPr>
      <w:color w:val="666666"/>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PROMTA.PRO редакция 1.0</dc:title>
  <dc:subject>Документы PROMTA.PRO по обработке персональных данных</dc:subject>
  <dc:creator>ООО «Пищевые технологии»</dc:creator>
  <cp:keywords>PROMTA.PRO, персональные данные, конфиденциальность</cp:keywords>
  <dc:description>generated by python-docx</dc:description>
  <cp:lastModifiedBy/>
  <cp:revision>1</cp:revision>
  <dcterms:created xsi:type="dcterms:W3CDTF">2013-12-23T23:15:00Z</dcterms:created>
  <dcterms:modified xsi:type="dcterms:W3CDTF">2013-12-23T23:15:00Z</dcterms:modified>
  <cp:category/>
</cp:coreProperties>
</file>