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Calibri" w:hAnsi="Calibri"/>
          <w:b/>
          <w:color w:val="2F5597"/>
          <w:sz w:val="20"/>
        </w:rPr>
        <w:t>PROMTA.PRO</w:t>
      </w:r>
    </w:p>
    <w:p>
      <w:pPr>
        <w:pStyle w:val="Title"/>
        <w:spacing w:before="440" w:after="80"/>
        <w:jc w:val="left"/>
      </w:pPr>
      <w:r>
        <w:t>ПОЛЬЗОВАТЕЛЬСКОЕ</w:t>
        <w:br/>
        <w:t>СОГЛАШЕНИЕ</w:t>
      </w:r>
    </w:p>
    <w:p>
      <w:pPr>
        <w:pStyle w:val="Subtitle"/>
        <w:jc w:val="left"/>
      </w:pPr>
      <w:r>
        <w:t>маркетплейса пищевого оборудования PROMTA.PRO</w:t>
      </w:r>
    </w:p>
    <w:tbl>
      <w:tblPr>
        <w:tblW w:type="auto" w:w="0"/>
        <w:jc w:val="left"/>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Pr>
      <w:tblGrid>
        <w:gridCol w:w="4847"/>
        <w:gridCol w:w="4847"/>
      </w:tblGrid>
      <w:tr>
        <w:trPr>
          <w:tblHeader w:val="true"/>
          <w:cantSplit/>
        </w:trPr>
        <w:tc>
          <w:tcPr>
            <w:tcW w:type="dxa" w:w="2200"/>
            <w:tcMar>
              <w:top w:w="90" w:type="dxa"/>
              <w:start w:w="110" w:type="dxa"/>
              <w:bottom w:w="90" w:type="dxa"/>
              <w:end w:w="110" w:type="dxa"/>
            </w:tcMar>
            <w:shd w:fill="F2F4F7"/>
          </w:tcPr>
          <w:p>
            <w:pPr>
              <w:spacing w:after="0"/>
            </w:pPr>
            <w:r>
              <w:rPr>
                <w:b/>
                <w:sz w:val="19"/>
              </w:rPr>
              <w:t>Редакция</w:t>
            </w:r>
          </w:p>
        </w:tc>
        <w:tc>
          <w:tcPr>
            <w:tcW w:type="dxa" w:w="7490"/>
            <w:tcMar>
              <w:top w:w="90" w:type="dxa"/>
              <w:start w:w="110" w:type="dxa"/>
              <w:bottom w:w="90" w:type="dxa"/>
              <w:end w:w="110" w:type="dxa"/>
            </w:tcMar>
          </w:tcPr>
          <w:p>
            <w:pPr>
              <w:spacing w:after="0"/>
            </w:pPr>
            <w:r>
              <w:rPr>
                <w:sz w:val="19"/>
              </w:rPr>
              <w:t>1.1</w:t>
            </w:r>
          </w:p>
        </w:tc>
      </w:tr>
      <w:tr>
        <w:trPr>
          <w:cantSplit/>
        </w:trPr>
        <w:tc>
          <w:tcPr>
            <w:tcW w:type="dxa" w:w="2200"/>
            <w:tcMar>
              <w:top w:w="90" w:type="dxa"/>
              <w:start w:w="110" w:type="dxa"/>
              <w:bottom w:w="90" w:type="dxa"/>
              <w:end w:w="110" w:type="dxa"/>
            </w:tcMar>
            <w:shd w:fill="F2F4F7"/>
          </w:tcPr>
          <w:p>
            <w:pPr>
              <w:spacing w:after="0"/>
            </w:pPr>
            <w:r>
              <w:rPr>
                <w:b/>
                <w:sz w:val="19"/>
              </w:rPr>
              <w:t>Дата вступления в силу</w:t>
            </w:r>
          </w:p>
        </w:tc>
        <w:tc>
          <w:tcPr>
            <w:tcW w:type="dxa" w:w="7490"/>
            <w:tcMar>
              <w:top w:w="90" w:type="dxa"/>
              <w:start w:w="110" w:type="dxa"/>
              <w:bottom w:w="90" w:type="dxa"/>
              <w:end w:w="110" w:type="dxa"/>
            </w:tcMar>
          </w:tcPr>
          <w:p>
            <w:pPr>
              <w:spacing w:after="0"/>
            </w:pPr>
            <w:r>
              <w:rPr>
                <w:sz w:val="19"/>
              </w:rPr>
              <w:t>12 сентября 2026 года</w:t>
            </w:r>
          </w:p>
        </w:tc>
      </w:tr>
    </w:tbl>
    <w:p/>
    <w:tbl>
      <w:tblPr>
        <w:tblW w:type="auto" w:w="0"/>
        <w:jc w:val="center"/>
        <w:tblLayout w:type="fixed"/>
        <w:tblLook w:firstColumn="1" w:firstRow="1" w:lastColumn="0" w:lastRow="0" w:noHBand="0" w:noVBand="1" w:val="04A0"/>
        <w:tblBorders>
          <w:top w:val="single" w:sz="6" w:space="0" w:color="D9EAF7"/>
          <w:left w:val="single" w:sz="6" w:space="0" w:color="D9EAF7"/>
          <w:bottom w:val="single" w:sz="6" w:space="0" w:color="D9EAF7"/>
          <w:right w:val="single" w:sz="6" w:space="0" w:color="D9EAF7"/>
        </w:tblBorders>
      </w:tblPr>
      <w:tblGrid>
        <w:gridCol w:w="9695"/>
      </w:tblGrid>
      <w:tr>
        <w:trPr>
          <w:tblHeader w:val="true"/>
        </w:trPr>
        <w:tc>
          <w:tcPr>
            <w:tcW w:type="dxa" w:w="9690"/>
            <w:shd w:fill="F6FAFD"/>
            <w:tcMar>
              <w:top w:w="110" w:type="dxa"/>
              <w:start w:w="150" w:type="dxa"/>
              <w:bottom w:w="110" w:type="dxa"/>
              <w:end w:w="150" w:type="dxa"/>
            </w:tcMar>
          </w:tcPr>
          <w:p>
            <w:pPr>
              <w:pStyle w:val="LegalNote"/>
              <w:spacing w:after="0"/>
              <w:ind w:left="0" w:right="0"/>
            </w:pPr>
            <w:r>
              <w:t>Настоящее Соглашение определяет условия доступа к цифровой платформе PROMTA.PRO, оформления заказов и расчётов. Конкретный продавец (исполнитель) и модель сделки указываются в карточке товара, заказе, счёте или индивидуальных условиях до оплаты.</w:t>
            </w:r>
          </w:p>
        </w:tc>
      </w:tr>
    </w:tbl>
    <w:p>
      <w:pPr>
        <w:pStyle w:val="LegalClause"/>
        <w:spacing w:before="220"/>
      </w:pPr>
      <w:r>
        <w:t>Общество с ограниченной ответственностью «Пищевые технологии» (далее — «Оператор») предлагает пользователям сети Интернет использовать сайт https://promta.pro и функциональность маркетплейса на условиях настоящего Пользовательского соглашения.</w:t>
      </w:r>
    </w:p>
    <w:p>
      <w:pPr>
        <w:pStyle w:val="Heading1"/>
        <w:keepNext/>
        <w:keepLines/>
        <w:widowControl/>
      </w:pPr>
      <w:r>
        <w:t>1. Общие положения</w:t>
      </w:r>
    </w:p>
    <w:p>
      <w:pPr>
        <w:pStyle w:val="LegalClause"/>
        <w:keepLines/>
        <w:widowControl/>
      </w:pPr>
      <w:r>
        <w:rPr>
          <w:b/>
        </w:rPr>
        <w:t xml:space="preserve">1.1. </w:t>
      </w:r>
      <w:r>
        <w:t>Соглашение является публичным предложением Оператора заключить договор об использовании Платформы в смысле статей 435, 437 и 438 Гражданского кодекса Российской Федерации. Оно применяется к посетителям сайта, зарегистрированным пользователям, покупателям и партнёрам в части использования Платформы.</w:t>
      </w:r>
    </w:p>
    <w:p>
      <w:pPr>
        <w:pStyle w:val="LegalClause"/>
        <w:keepLines/>
        <w:widowControl/>
      </w:pPr>
      <w:r>
        <w:rPr>
          <w:b/>
        </w:rPr>
        <w:t xml:space="preserve">1.2. </w:t>
      </w:r>
      <w:r>
        <w:t>Акцептом Соглашения является совершение Пользователем одного или нескольких действий: регистрация Личного кабинета; проставление отметки о принятии Соглашения; направление Заказа; оплата Заказа; продолжение использования функциональности, для которой явно предложено принять Соглашение. Ознакомление с информационными страницами сайта само по себе не означает согласия на обработку персональных данных.</w:t>
      </w:r>
    </w:p>
    <w:p>
      <w:pPr>
        <w:pStyle w:val="LegalClause"/>
        <w:keepLines/>
        <w:widowControl/>
      </w:pPr>
      <w:r>
        <w:rPr>
          <w:b/>
        </w:rPr>
        <w:t xml:space="preserve">1.3. </w:t>
      </w:r>
      <w:r>
        <w:t>До акцепта Пользователь обязан ознакомиться с Соглашением, Политикой обработки персональных данных, условиями доставки и возврата, а также условиями конкретного Заказа. Согласие на обработку персональных данных, когда оно требуется законом, оформляется отдельно от Соглашения.</w:t>
      </w:r>
    </w:p>
    <w:p>
      <w:pPr>
        <w:pStyle w:val="LegalClause"/>
        <w:keepLines/>
        <w:widowControl/>
      </w:pPr>
      <w:r>
        <w:rPr>
          <w:b/>
        </w:rPr>
        <w:t xml:space="preserve">1.4. </w:t>
      </w:r>
      <w:r>
        <w:t>Соглашение регулирует использование Платформы. Договор купли-продажи товара, договор поставки, подряда, оказания услуг либо смешанный договор заключается с лицом, которое указано продавцом или исполнителем в карточке товара, Заказе, счёте, спецификации либо индивидуальном договоре.</w:t>
      </w:r>
    </w:p>
    <w:p>
      <w:pPr>
        <w:pStyle w:val="LegalClause"/>
        <w:keepLines/>
        <w:widowControl/>
      </w:pPr>
      <w:r>
        <w:rPr>
          <w:b/>
        </w:rPr>
        <w:t xml:space="preserve">1.5. </w:t>
      </w:r>
      <w:r>
        <w:t>Для Партнёров дополнительно действуют договор, агентская оферта или иные условия сотрудничества с Оператором. При расхождении таких условий с настоящим Соглашением специальные условия имеют приоритет в отношениях между Оператором и Партнёром, но не уменьшают обязательные права Покупателя.</w:t>
      </w:r>
    </w:p>
    <w:p>
      <w:pPr>
        <w:pStyle w:val="LegalClause"/>
        <w:keepLines/>
        <w:widowControl/>
      </w:pPr>
      <w:r>
        <w:rPr>
          <w:b/>
        </w:rPr>
        <w:t xml:space="preserve">1.6. </w:t>
      </w:r>
      <w:r>
        <w:t>К отношениям с Покупателем-потребителем применяются Закон Российской Федерации от 07.02.1992 № 2300-1 «О защите прав потребителей» и иные обязательные нормы. Покупка юридическим лицом или индивидуальным предпринимателем для предпринимательских целей регулируется гражданским законодательством и условиями соответствующего Заказа.</w:t>
      </w:r>
    </w:p>
    <w:p>
      <w:pPr>
        <w:pStyle w:val="Heading1"/>
        <w:keepNext/>
        <w:keepLines/>
        <w:widowControl/>
      </w:pPr>
      <w:r>
        <w:t>2. Термины</w:t>
      </w:r>
    </w:p>
    <w:p>
      <w:pPr>
        <w:pStyle w:val="LegalClause"/>
        <w:keepLines/>
        <w:widowControl/>
      </w:pPr>
      <w:r>
        <w:rPr>
          <w:b/>
        </w:rPr>
        <w:t xml:space="preserve">2.1. </w:t>
      </w:r>
      <w:r>
        <w:rPr>
          <w:b/>
        </w:rPr>
        <w:t xml:space="preserve">Платформа (Маркетплейс) — </w:t>
      </w:r>
      <w:r>
        <w:t>сайт promta.pro, программные средства, Личный кабинет и связанные сервисы, с помощью которых размещаются предложения, оформляются Заказы, передаются сообщения и, в предусмотренных моделях, организуются расчёты.</w:t>
      </w:r>
    </w:p>
    <w:p>
      <w:pPr>
        <w:pStyle w:val="LegalClause"/>
        <w:keepLines/>
        <w:widowControl/>
      </w:pPr>
      <w:r>
        <w:rPr>
          <w:b/>
        </w:rPr>
        <w:t xml:space="preserve">2.2. </w:t>
      </w:r>
      <w:r>
        <w:rPr>
          <w:b/>
        </w:rPr>
        <w:t xml:space="preserve">Оператор — </w:t>
      </w:r>
      <w:r>
        <w:t>ООО «Пищевые технологии», владелец и администратор Платформы, а также агент, продавец, поставщик либо исполнитель — в зависимости от модели конкретной сделки.</w:t>
      </w:r>
    </w:p>
    <w:p>
      <w:pPr>
        <w:pStyle w:val="LegalClause"/>
        <w:keepLines/>
        <w:widowControl/>
      </w:pPr>
      <w:r>
        <w:rPr>
          <w:b/>
        </w:rPr>
        <w:t xml:space="preserve">2.3. </w:t>
      </w:r>
      <w:r>
        <w:rPr>
          <w:b/>
        </w:rPr>
        <w:t xml:space="preserve">Пользователь — </w:t>
      </w:r>
      <w:r>
        <w:t>дееспособное физическое лицо, индивидуальный предприниматель или юридическое лицо, использующее Платформу лично либо через уполномоченного представителя.</w:t>
      </w:r>
    </w:p>
    <w:p>
      <w:pPr>
        <w:pStyle w:val="LegalClause"/>
        <w:keepLines/>
        <w:widowControl/>
      </w:pPr>
      <w:r>
        <w:rPr>
          <w:b/>
        </w:rPr>
        <w:t xml:space="preserve">2.4. </w:t>
      </w:r>
      <w:r>
        <w:rPr>
          <w:b/>
        </w:rPr>
        <w:t xml:space="preserve">Покупатель — </w:t>
      </w:r>
      <w:r>
        <w:t>Пользователь, который оформляет Заказ для себя или представляемого им лица. Потребителем является только гражданин, приобретающий товар, работу или услугу для личных, семейных, домашних и иных нужд, не связанных с предпринимательством.</w:t>
      </w:r>
    </w:p>
    <w:p>
      <w:pPr>
        <w:pStyle w:val="LegalClause"/>
        <w:keepLines/>
        <w:widowControl/>
      </w:pPr>
      <w:r>
        <w:rPr>
          <w:b/>
        </w:rPr>
        <w:t xml:space="preserve">2.5. </w:t>
      </w:r>
      <w:r>
        <w:rPr>
          <w:b/>
        </w:rPr>
        <w:t xml:space="preserve">Партнёр (Поставщик) — </w:t>
      </w:r>
      <w:r>
        <w:t>юридическое лицо, индивидуальный предприниматель или иное допустимое законом лицо, размещающее предложения и выступающее продавцом, поставщиком или исполнителем в агентских моделях.</w:t>
      </w:r>
    </w:p>
    <w:p>
      <w:pPr>
        <w:pStyle w:val="LegalClause"/>
        <w:keepLines/>
        <w:widowControl/>
      </w:pPr>
      <w:r>
        <w:rPr>
          <w:b/>
        </w:rPr>
        <w:t xml:space="preserve">2.6. </w:t>
      </w:r>
      <w:r>
        <w:rPr>
          <w:b/>
        </w:rPr>
        <w:t xml:space="preserve">Продавец (Исполнитель) — </w:t>
      </w:r>
      <w:r>
        <w:t>лицо, заключающее с Покупателем договор в отношении конкретного товара, работы или услуги; оно указывается до оформления оплаты.</w:t>
      </w:r>
    </w:p>
    <w:p>
      <w:pPr>
        <w:pStyle w:val="LegalClause"/>
        <w:keepLines/>
        <w:widowControl/>
      </w:pPr>
      <w:r>
        <w:rPr>
          <w:b/>
        </w:rPr>
        <w:t xml:space="preserve">2.7. </w:t>
      </w:r>
      <w:r>
        <w:rPr>
          <w:b/>
        </w:rPr>
        <w:t xml:space="preserve">Товар — </w:t>
      </w:r>
      <w:r>
        <w:t>оборудование, комплектующие, расходные материалы и иная продукция, информация о которой размещена на Платформе.</w:t>
      </w:r>
    </w:p>
    <w:p>
      <w:pPr>
        <w:pStyle w:val="LegalClause"/>
        <w:keepLines/>
        <w:widowControl/>
      </w:pPr>
      <w:r>
        <w:rPr>
          <w:b/>
        </w:rPr>
        <w:t xml:space="preserve">2.8. </w:t>
      </w:r>
      <w:r>
        <w:rPr>
          <w:b/>
        </w:rPr>
        <w:t xml:space="preserve">Заказ — </w:t>
      </w:r>
      <w:r>
        <w:t>сформированное на Платформе или согласованное сторонами волеизъявление Покупателя приобрести Товар, работы или услуги на зафиксированных условиях.</w:t>
      </w:r>
    </w:p>
    <w:p>
      <w:pPr>
        <w:pStyle w:val="LegalClause"/>
        <w:keepLines/>
        <w:widowControl/>
      </w:pPr>
      <w:r>
        <w:rPr>
          <w:b/>
        </w:rPr>
        <w:t xml:space="preserve">2.9. </w:t>
      </w:r>
      <w:r>
        <w:rPr>
          <w:b/>
        </w:rPr>
        <w:t xml:space="preserve">Личный кабинет — </w:t>
      </w:r>
      <w:r>
        <w:t>защищённый раздел Платформы, доступный после идентификации Пользователя.</w:t>
      </w:r>
    </w:p>
    <w:p>
      <w:pPr>
        <w:pStyle w:val="LegalClause"/>
        <w:keepLines/>
        <w:widowControl/>
      </w:pPr>
      <w:r>
        <w:rPr>
          <w:b/>
        </w:rPr>
        <w:t xml:space="preserve">2.10. </w:t>
      </w:r>
      <w:r>
        <w:rPr>
          <w:b/>
        </w:rPr>
        <w:t xml:space="preserve">Платёжный партнёр — </w:t>
      </w:r>
      <w:r>
        <w:t>кредитная или небанковская кредитная организация либо платёжный сервис, обеспечивающие приём и обработку платежей, включая ЮKassa и обслуживающие банки.</w:t>
      </w:r>
    </w:p>
    <w:p>
      <w:pPr>
        <w:pStyle w:val="LegalClause"/>
        <w:keepLines/>
        <w:widowControl/>
      </w:pPr>
      <w:r>
        <w:rPr>
          <w:b/>
        </w:rPr>
        <w:t xml:space="preserve">2.11. </w:t>
      </w:r>
      <w:r>
        <w:rPr>
          <w:b/>
        </w:rPr>
        <w:t xml:space="preserve">Индивидуальные условия — </w:t>
      </w:r>
      <w:r>
        <w:t>счёт, спецификация, коммерческое предложение, договор, техническое задание, график этапов или иное согласованное описание конкретной сделки.</w:t>
      </w:r>
    </w:p>
    <w:p>
      <w:pPr>
        <w:pStyle w:val="Heading1"/>
        <w:keepNext/>
        <w:keepLines/>
        <w:widowControl/>
      </w:pPr>
      <w:r>
        <w:t>3. Роли Оператора и модели сделки</w:t>
      </w:r>
    </w:p>
    <w:p>
      <w:pPr>
        <w:pStyle w:val="LegalClause"/>
        <w:keepLines/>
        <w:widowControl/>
      </w:pPr>
      <w:r>
        <w:rPr>
          <w:b/>
        </w:rPr>
        <w:t xml:space="preserve">3.1. </w:t>
      </w:r>
      <w:r>
        <w:t>Платформа поддерживает несколько моделей. Применимая модель, наименование и реквизиты Продавца (Исполнителя), итоговая цена и существенные условия отображаются Покупателю до оплаты в карточке, Заказе, счёте либо Индивидуальных условиях.</w:t>
      </w:r>
    </w:p>
    <w:tbl>
      <w:tblPr>
        <w:tblW w:type="auto" w:w="0"/>
        <w:jc w:val="center"/>
        <w:tblLayout w:type="fixed"/>
        <w:tblLook w:firstColumn="1" w:firstRow="1" w:lastColumn="0" w:lastRow="0" w:noHBand="0" w:noVBand="1" w:val="04A0"/>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Pr>
      <w:tblGrid>
        <w:gridCol w:w="3232"/>
        <w:gridCol w:w="3232"/>
        <w:gridCol w:w="3232"/>
      </w:tblGrid>
      <w:tr>
        <w:trPr>
          <w:tblHeader w:val="true"/>
        </w:trPr>
        <w:tc>
          <w:tcPr>
            <w:tcW w:type="dxa" w:w="1750"/>
            <w:shd w:fill="17365D"/>
            <w:tcMar>
              <w:top w:w="100" w:type="dxa"/>
              <w:start w:w="100" w:type="dxa"/>
              <w:bottom w:w="100" w:type="dxa"/>
              <w:end w:w="100" w:type="dxa"/>
            </w:tcMar>
          </w:tcPr>
          <w:p>
            <w:pPr>
              <w:spacing w:after="0"/>
            </w:pPr>
            <w:r>
              <w:rPr>
                <w:b/>
                <w:color w:val="FFFFFF"/>
                <w:sz w:val="18"/>
              </w:rPr>
              <w:t>Модель</w:t>
            </w:r>
          </w:p>
        </w:tc>
        <w:tc>
          <w:tcPr>
            <w:tcW w:type="dxa" w:w="3920"/>
            <w:shd w:fill="17365D"/>
            <w:tcMar>
              <w:top w:w="100" w:type="dxa"/>
              <w:start w:w="100" w:type="dxa"/>
              <w:bottom w:w="100" w:type="dxa"/>
              <w:end w:w="100" w:type="dxa"/>
            </w:tcMar>
          </w:tcPr>
          <w:p>
            <w:pPr>
              <w:spacing w:after="0"/>
            </w:pPr>
            <w:r>
              <w:rPr>
                <w:b/>
                <w:color w:val="FFFFFF"/>
                <w:sz w:val="18"/>
              </w:rPr>
              <w:t>Стороны и движение платежа</w:t>
            </w:r>
          </w:p>
        </w:tc>
        <w:tc>
          <w:tcPr>
            <w:tcW w:type="dxa" w:w="4020"/>
            <w:shd w:fill="17365D"/>
            <w:tcMar>
              <w:top w:w="100" w:type="dxa"/>
              <w:start w:w="100" w:type="dxa"/>
              <w:bottom w:w="100" w:type="dxa"/>
              <w:end w:w="100" w:type="dxa"/>
            </w:tcMar>
          </w:tcPr>
          <w:p>
            <w:pPr>
              <w:spacing w:after="0"/>
            </w:pPr>
            <w:r>
              <w:rPr>
                <w:b/>
                <w:color w:val="FFFFFF"/>
                <w:sz w:val="18"/>
              </w:rPr>
              <w:t>Роль и ответственность</w:t>
            </w:r>
          </w:p>
        </w:tc>
      </w:tr>
      <w:tr>
        <w:trPr>
          <w:cantSplit/>
        </w:trPr>
        <w:tc>
          <w:tcPr>
            <w:tcW w:type="dxa" w:w="1750"/>
            <w:tcMar>
              <w:top w:w="90" w:type="dxa"/>
              <w:start w:w="95" w:type="dxa"/>
              <w:bottom w:w="90" w:type="dxa"/>
              <w:end w:w="95" w:type="dxa"/>
            </w:tcMar>
          </w:tcPr>
          <w:p>
            <w:pPr>
              <w:spacing w:after="0"/>
              <w:jc w:val="left"/>
            </w:pPr>
            <w:r>
              <w:rPr>
                <w:b/>
                <w:color w:val="2F5597"/>
                <w:sz w:val="17"/>
              </w:rPr>
              <w:t>AG-TR</w:t>
              <w:br/>
              <w:t>основная</w:t>
            </w:r>
          </w:p>
        </w:tc>
        <w:tc>
          <w:tcPr>
            <w:tcW w:type="dxa" w:w="3920"/>
            <w:tcMar>
              <w:top w:w="90" w:type="dxa"/>
              <w:start w:w="95" w:type="dxa"/>
              <w:bottom w:w="90" w:type="dxa"/>
              <w:end w:w="95" w:type="dxa"/>
            </w:tcMar>
          </w:tcPr>
          <w:p>
            <w:pPr>
              <w:spacing w:after="0"/>
              <w:jc w:val="left"/>
            </w:pPr>
            <w:r>
              <w:rPr>
                <w:sz w:val="17"/>
              </w:rPr>
              <w:t>Продавец — Партнёр. Покупатель перечисляет полную цену Оператору как агенту; Оператор удерживает вознаграждение и переводит остаток Партнёру.</w:t>
            </w:r>
          </w:p>
        </w:tc>
        <w:tc>
          <w:tcPr>
            <w:tcW w:type="dxa" w:w="4020"/>
            <w:tcMar>
              <w:top w:w="90" w:type="dxa"/>
              <w:start w:w="95" w:type="dxa"/>
              <w:bottom w:w="90" w:type="dxa"/>
              <w:end w:w="95" w:type="dxa"/>
            </w:tcMar>
          </w:tcPr>
          <w:p>
            <w:pPr>
              <w:spacing w:after="0"/>
              <w:jc w:val="left"/>
            </w:pPr>
            <w:r>
              <w:rPr>
                <w:sz w:val="17"/>
              </w:rPr>
              <w:t>Партнёр отвечает за Товар, поставку и гарантию. Оператор организует заказ, расчёты и взаимодействие по претензии; выполняет собственные обязанности владельца агрегатора, если они применимы.</w:t>
            </w:r>
          </w:p>
        </w:tc>
      </w:tr>
      <w:tr>
        <w:trPr>
          <w:cantSplit/>
        </w:trPr>
        <w:tc>
          <w:tcPr>
            <w:tcW w:type="dxa" w:w="1750"/>
            <w:tcMar>
              <w:top w:w="90" w:type="dxa"/>
              <w:start w:w="95" w:type="dxa"/>
              <w:bottom w:w="90" w:type="dxa"/>
              <w:end w:w="95" w:type="dxa"/>
            </w:tcMar>
            <w:shd w:fill="F8FAFC"/>
          </w:tcPr>
          <w:p>
            <w:pPr>
              <w:spacing w:after="0"/>
              <w:jc w:val="left"/>
            </w:pPr>
            <w:r>
              <w:rPr>
                <w:b/>
                <w:color w:val="2F5597"/>
                <w:sz w:val="17"/>
              </w:rPr>
              <w:t>AG-PR</w:t>
            </w:r>
          </w:p>
        </w:tc>
        <w:tc>
          <w:tcPr>
            <w:tcW w:type="dxa" w:w="3920"/>
            <w:tcMar>
              <w:top w:w="90" w:type="dxa"/>
              <w:start w:w="95" w:type="dxa"/>
              <w:bottom w:w="90" w:type="dxa"/>
              <w:end w:w="95" w:type="dxa"/>
            </w:tcMar>
            <w:shd w:fill="F8FAFC"/>
          </w:tcPr>
          <w:p>
            <w:pPr>
              <w:spacing w:after="0"/>
              <w:jc w:val="left"/>
            </w:pPr>
            <w:r>
              <w:rPr>
                <w:sz w:val="17"/>
              </w:rPr>
              <w:t>Продавец — Партнёр. Покупатель платит непосредственно Партнёру. Вознаграждение Оператору Партнёр перечисляет отдельно.</w:t>
            </w:r>
          </w:p>
        </w:tc>
        <w:tc>
          <w:tcPr>
            <w:tcW w:type="dxa" w:w="4020"/>
            <w:tcMar>
              <w:top w:w="90" w:type="dxa"/>
              <w:start w:w="95" w:type="dxa"/>
              <w:bottom w:w="90" w:type="dxa"/>
              <w:end w:w="95" w:type="dxa"/>
            </w:tcMar>
            <w:shd w:fill="F8FAFC"/>
          </w:tcPr>
          <w:p>
            <w:pPr>
              <w:spacing w:after="0"/>
              <w:jc w:val="left"/>
            </w:pPr>
            <w:r>
              <w:rPr>
                <w:sz w:val="17"/>
              </w:rPr>
              <w:t>Партнёр принимает оплату, оформляет документы и возврат; Оператор предоставляет Платформу и координирует взаимодействие.</w:t>
            </w:r>
          </w:p>
        </w:tc>
      </w:tr>
      <w:tr>
        <w:trPr>
          <w:cantSplit/>
        </w:trPr>
        <w:tc>
          <w:tcPr>
            <w:tcW w:type="dxa" w:w="1750"/>
            <w:tcMar>
              <w:top w:w="90" w:type="dxa"/>
              <w:start w:w="95" w:type="dxa"/>
              <w:bottom w:w="90" w:type="dxa"/>
              <w:end w:w="95" w:type="dxa"/>
            </w:tcMar>
          </w:tcPr>
          <w:p>
            <w:pPr>
              <w:spacing w:after="0"/>
              <w:jc w:val="left"/>
            </w:pPr>
            <w:r>
              <w:rPr>
                <w:b/>
                <w:color w:val="2F5597"/>
                <w:sz w:val="17"/>
              </w:rPr>
              <w:t>PP</w:t>
            </w:r>
          </w:p>
        </w:tc>
        <w:tc>
          <w:tcPr>
            <w:tcW w:type="dxa" w:w="3920"/>
            <w:tcMar>
              <w:top w:w="90" w:type="dxa"/>
              <w:start w:w="95" w:type="dxa"/>
              <w:bottom w:w="90" w:type="dxa"/>
              <w:end w:w="95" w:type="dxa"/>
            </w:tcMar>
          </w:tcPr>
          <w:p>
            <w:pPr>
              <w:spacing w:after="0"/>
              <w:jc w:val="left"/>
            </w:pPr>
            <w:r>
              <w:rPr>
                <w:sz w:val="17"/>
              </w:rPr>
              <w:t>Продавец — ООО «Пищевые технологии». Покупатель платит Оператору.</w:t>
            </w:r>
          </w:p>
        </w:tc>
        <w:tc>
          <w:tcPr>
            <w:tcW w:type="dxa" w:w="4020"/>
            <w:tcMar>
              <w:top w:w="90" w:type="dxa"/>
              <w:start w:w="95" w:type="dxa"/>
              <w:bottom w:w="90" w:type="dxa"/>
              <w:end w:w="95" w:type="dxa"/>
            </w:tcMar>
          </w:tcPr>
          <w:p>
            <w:pPr>
              <w:spacing w:after="0"/>
              <w:jc w:val="left"/>
            </w:pPr>
            <w:r>
              <w:rPr>
                <w:sz w:val="17"/>
              </w:rPr>
              <w:t>Оператор самостоятельно отвечает перед Покупателем как продавец или поставщик.</w:t>
            </w:r>
          </w:p>
        </w:tc>
      </w:tr>
      <w:tr>
        <w:trPr>
          <w:cantSplit/>
        </w:trPr>
        <w:tc>
          <w:tcPr>
            <w:tcW w:type="dxa" w:w="1750"/>
            <w:tcMar>
              <w:top w:w="90" w:type="dxa"/>
              <w:start w:w="95" w:type="dxa"/>
              <w:bottom w:w="90" w:type="dxa"/>
              <w:end w:w="95" w:type="dxa"/>
            </w:tcMar>
            <w:shd w:fill="F8FAFC"/>
          </w:tcPr>
          <w:p>
            <w:pPr>
              <w:spacing w:after="0"/>
              <w:jc w:val="left"/>
            </w:pPr>
            <w:r>
              <w:rPr>
                <w:b/>
                <w:color w:val="2F5597"/>
                <w:sz w:val="17"/>
              </w:rPr>
              <w:t>KP</w:t>
            </w:r>
          </w:p>
        </w:tc>
        <w:tc>
          <w:tcPr>
            <w:tcW w:type="dxa" w:w="3920"/>
            <w:tcMar>
              <w:top w:w="90" w:type="dxa"/>
              <w:start w:w="95" w:type="dxa"/>
              <w:bottom w:w="90" w:type="dxa"/>
              <w:end w:w="95" w:type="dxa"/>
            </w:tcMar>
            <w:shd w:fill="F8FAFC"/>
          </w:tcPr>
          <w:p>
            <w:pPr>
              <w:spacing w:after="0"/>
              <w:jc w:val="left"/>
            </w:pPr>
            <w:r>
              <w:rPr>
                <w:sz w:val="17"/>
              </w:rPr>
              <w:t>Генеральный поставщик или подрядчик — ООО «Пищевые технологии». Оплата поступает Оператору полностью либо по этапам.</w:t>
            </w:r>
          </w:p>
        </w:tc>
        <w:tc>
          <w:tcPr>
            <w:tcW w:type="dxa" w:w="4020"/>
            <w:tcMar>
              <w:top w:w="90" w:type="dxa"/>
              <w:start w:w="95" w:type="dxa"/>
              <w:bottom w:w="90" w:type="dxa"/>
              <w:end w:w="95" w:type="dxa"/>
            </w:tcMar>
            <w:shd w:fill="F8FAFC"/>
          </w:tcPr>
          <w:p>
            <w:pPr>
              <w:spacing w:after="0"/>
              <w:jc w:val="left"/>
            </w:pPr>
            <w:r>
              <w:rPr>
                <w:sz w:val="17"/>
              </w:rPr>
              <w:t>Оператор отвечает за комплексную поставку, проект, монтаж и/или координацию работ согласно Индивидуальным условиям.</w:t>
            </w:r>
          </w:p>
        </w:tc>
      </w:tr>
      <w:tr>
        <w:trPr>
          <w:cantSplit/>
        </w:trPr>
        <w:tc>
          <w:tcPr>
            <w:tcW w:type="dxa" w:w="1750"/>
            <w:tcMar>
              <w:top w:w="90" w:type="dxa"/>
              <w:start w:w="95" w:type="dxa"/>
              <w:bottom w:w="90" w:type="dxa"/>
              <w:end w:w="95" w:type="dxa"/>
            </w:tcMar>
          </w:tcPr>
          <w:p>
            <w:pPr>
              <w:spacing w:after="0"/>
              <w:jc w:val="left"/>
            </w:pPr>
            <w:r>
              <w:rPr>
                <w:b/>
                <w:color w:val="2F5597"/>
                <w:sz w:val="17"/>
              </w:rPr>
              <w:t>USL</w:t>
            </w:r>
          </w:p>
        </w:tc>
        <w:tc>
          <w:tcPr>
            <w:tcW w:type="dxa" w:w="3920"/>
            <w:tcMar>
              <w:top w:w="90" w:type="dxa"/>
              <w:start w:w="95" w:type="dxa"/>
              <w:bottom w:w="90" w:type="dxa"/>
              <w:end w:w="95" w:type="dxa"/>
            </w:tcMar>
          </w:tcPr>
          <w:p>
            <w:pPr>
              <w:spacing w:after="0"/>
              <w:jc w:val="left"/>
            </w:pPr>
            <w:r>
              <w:rPr>
                <w:sz w:val="17"/>
              </w:rPr>
              <w:t>Исполнитель услуг — ООО «Пищевые технологии». Покупатель платит Оператору.</w:t>
            </w:r>
          </w:p>
        </w:tc>
        <w:tc>
          <w:tcPr>
            <w:tcW w:type="dxa" w:w="4020"/>
            <w:tcMar>
              <w:top w:w="90" w:type="dxa"/>
              <w:start w:w="95" w:type="dxa"/>
              <w:bottom w:w="90" w:type="dxa"/>
              <w:end w:w="95" w:type="dxa"/>
            </w:tcMar>
          </w:tcPr>
          <w:p>
            <w:pPr>
              <w:spacing w:after="0"/>
              <w:jc w:val="left"/>
            </w:pPr>
            <w:r>
              <w:rPr>
                <w:sz w:val="17"/>
              </w:rPr>
              <w:t>Оператор отвечает за оказание и сдачу услуг или работ согласно Заказу, техническому заданию и акту.</w:t>
            </w:r>
          </w:p>
        </w:tc>
      </w:tr>
    </w:tbl>
    <w:p>
      <w:pPr>
        <w:pStyle w:val="LegalClause"/>
        <w:keepLines/>
        <w:widowControl/>
      </w:pPr>
      <w:r>
        <w:rPr>
          <w:b/>
        </w:rPr>
        <w:t xml:space="preserve">3.2. </w:t>
      </w:r>
      <w:r>
        <w:t>В моделях AG-TR и AG-PR Оператор не становится изготовителем или собственником Товара только вследствие размещения предложения, получения оплаты как агент либо содействия исполнению Заказа. Это не освобождает Оператора от ответственности за собственные действия и от обязательных обязанностей владельца агрегатора информации о товарах (услугах), если соответствующие нормы применимы.</w:t>
      </w:r>
    </w:p>
    <w:p>
      <w:pPr>
        <w:pStyle w:val="LegalClause"/>
        <w:keepLines/>
        <w:widowControl/>
      </w:pPr>
      <w:r>
        <w:rPr>
          <w:b/>
        </w:rPr>
        <w:t xml:space="preserve">3.3. </w:t>
      </w:r>
      <w:r>
        <w:t>В моделях PP, KP и USL Оператор выступает стороной договора с Покупателем и несёт ответственность продавца, поставщика, подрядчика или исполнителя в объёме закона и Индивидуальных условий.</w:t>
      </w:r>
    </w:p>
    <w:p>
      <w:pPr>
        <w:pStyle w:val="LegalClause"/>
        <w:keepLines/>
        <w:widowControl/>
      </w:pPr>
      <w:r>
        <w:rPr>
          <w:b/>
        </w:rPr>
        <w:t xml:space="preserve">3.4. </w:t>
      </w:r>
      <w:r>
        <w:t>Если обозначение модели и текст Индивидуальных условий расходятся, приоритет имеют прямо указанные наименование Продавца (Исполнителя), получатель платежа и предмет обязательства. До оплаты Покупатель вправе обратиться за разъяснением в службу поддержки.</w:t>
      </w:r>
    </w:p>
    <w:p>
      <w:pPr>
        <w:pStyle w:val="Heading1"/>
        <w:keepNext/>
        <w:keepLines/>
        <w:widowControl/>
      </w:pPr>
      <w:r>
        <w:t>4. Регистрация и Личный кабинет</w:t>
      </w:r>
    </w:p>
    <w:p>
      <w:pPr>
        <w:pStyle w:val="LegalClause"/>
        <w:keepLines/>
        <w:widowControl/>
      </w:pPr>
      <w:r>
        <w:rPr>
          <w:b/>
        </w:rPr>
        <w:t xml:space="preserve">4.1. </w:t>
      </w:r>
      <w:r>
        <w:t>Регистрация может потребовать номер телефона, адрес электронной почты, сведения о представляемой организации и иные данные, необходимые для работы выбранной функции. Пользователь предоставляет достоверные и актуальные сведения и своевременно их обновляет.</w:t>
      </w:r>
    </w:p>
    <w:p>
      <w:pPr>
        <w:pStyle w:val="LegalClause"/>
        <w:keepLines/>
        <w:widowControl/>
      </w:pPr>
      <w:r>
        <w:rPr>
          <w:b/>
        </w:rPr>
        <w:t xml:space="preserve">4.2. </w:t>
      </w:r>
      <w:r>
        <w:t>Лицо, действующее от имени юридического лица или индивидуального предпринимателя, подтверждает наличие полномочий. Оператор вправе запросить документы о полномочиях и приостановить оформление Заказа до их получения.</w:t>
      </w:r>
    </w:p>
    <w:p>
      <w:pPr>
        <w:pStyle w:val="LegalClause"/>
        <w:keepLines/>
        <w:widowControl/>
      </w:pPr>
      <w:r>
        <w:rPr>
          <w:b/>
        </w:rPr>
        <w:t xml:space="preserve">4.3. </w:t>
      </w:r>
      <w:r>
        <w:t>Пользователь обеспечивает конфиденциальность средств доступа, не передаёт их третьим лицам и незамедлительно сообщает Оператору о несанкционированном доступе. Действия после корректной авторизации считаются совершёнными Пользователем, пока Оператор не получил сообщение о компрометации, если иное не доказано.</w:t>
      </w:r>
    </w:p>
    <w:p>
      <w:pPr>
        <w:pStyle w:val="LegalClause"/>
        <w:keepLines/>
        <w:widowControl/>
      </w:pPr>
      <w:r>
        <w:rPr>
          <w:b/>
        </w:rPr>
        <w:t xml:space="preserve">4.4. </w:t>
      </w:r>
      <w:r>
        <w:t>Оператор вправе применять подтверждение по телефону, электронной почте, электронной подписи, банковской идентификации или иным доступным способом. Функциональность и способы идентификации могут различаться для физических лиц, организаций и Партнёров.</w:t>
      </w:r>
    </w:p>
    <w:p>
      <w:pPr>
        <w:pStyle w:val="LegalClause"/>
        <w:keepLines/>
        <w:widowControl/>
      </w:pPr>
      <w:r>
        <w:rPr>
          <w:b/>
        </w:rPr>
        <w:t xml:space="preserve">4.5. </w:t>
      </w:r>
      <w:r>
        <w:t>Пользователь вправе прекратить использование Платформы и запросить удаление Личного кабинета, если сохранение данных не требуется для исполнения Заказа, бухгалтерского и налогового учёта, рассмотрения претензий либо выполнения обязанностей, установленных законом.</w:t>
      </w:r>
    </w:p>
    <w:p>
      <w:pPr>
        <w:pStyle w:val="Heading1"/>
        <w:keepNext/>
        <w:keepLines/>
        <w:widowControl/>
      </w:pPr>
      <w:r>
        <w:t>5. Карточки товаров и информация на Платформе</w:t>
      </w:r>
    </w:p>
    <w:p>
      <w:pPr>
        <w:pStyle w:val="LegalClause"/>
        <w:keepLines/>
        <w:widowControl/>
      </w:pPr>
      <w:r>
        <w:rPr>
          <w:b/>
        </w:rPr>
        <w:t xml:space="preserve">5.1. </w:t>
      </w:r>
      <w:r>
        <w:t>Карточка Товара содержит доступные сведения о наименовании, основных характеристиках, цене, наличии, производителе, Продавце, способах получения, гарантиях и документах о соответствии. Состав сведений зависит от вида Товара и требований законодательства.</w:t>
      </w:r>
    </w:p>
    <w:p>
      <w:pPr>
        <w:pStyle w:val="LegalClause"/>
        <w:keepLines/>
        <w:widowControl/>
      </w:pPr>
      <w:r>
        <w:rPr>
          <w:b/>
        </w:rPr>
        <w:t xml:space="preserve">5.2. </w:t>
      </w:r>
      <w:r>
        <w:t>В агентских моделях Партнёр формирует и подтверждает сведения о своём предложении и несёт ответственность за их достоверность. Оператор проверяет сведения в пределах своих обязанностей, вправе запросить подтверждающие документы, исправить явную техническую ошибку, скрыть или заблокировать предложение.</w:t>
      </w:r>
    </w:p>
    <w:p>
      <w:pPr>
        <w:pStyle w:val="LegalClause"/>
        <w:keepLines/>
        <w:widowControl/>
      </w:pPr>
      <w:r>
        <w:rPr>
          <w:b/>
        </w:rPr>
        <w:t xml:space="preserve">5.3. </w:t>
      </w:r>
      <w:r>
        <w:t>Партнёр обязан иметь право продавать Товар, соблюдать требования к маркировке и обязательному подтверждению соответствия, указывать регистрационные номера и ссылки на государственные реестры, когда это предусмотрено законом, а также не размещать запрещённые или изъятые из оборота товары.</w:t>
      </w:r>
    </w:p>
    <w:p>
      <w:pPr>
        <w:pStyle w:val="LegalClause"/>
        <w:keepLines/>
        <w:widowControl/>
      </w:pPr>
      <w:r>
        <w:rPr>
          <w:b/>
        </w:rPr>
        <w:t xml:space="preserve">5.4. </w:t>
      </w:r>
      <w:r>
        <w:t>Фотографии и визуализации могут иллюстрировать Товар. Комплектация, цвет, размеры, производительность и иные параметры определяются описанием, спецификацией и документацией производителя. При расхождении Покупатель до оформления Заказа запрашивает уточнение.</w:t>
      </w:r>
    </w:p>
    <w:p>
      <w:pPr>
        <w:pStyle w:val="LegalClause"/>
        <w:keepLines/>
        <w:widowControl/>
      </w:pPr>
      <w:r>
        <w:rPr>
          <w:b/>
        </w:rPr>
        <w:t xml:space="preserve">5.5. </w:t>
      </w:r>
      <w:r>
        <w:t>Правовая квалификация размещённого предложения зависит от содержания карточки Товара и порядка оформления Заказа. Если предложение содержит существенные условия дистанционной розничной продажи Покупателю-потребителю и позволяет оформить Заказ без предварительного согласования, оно является офертой Продавца. Если в карточке прямо указано на необходимость предварительно согласовать наличие, комплектацию, количество, технические параметры, доставку или иные условия, информация является приглашением направить Заказ для такого согласования. Для Покупателей, действующих в предпринимательских целях, информация в каталоге является приглашением делать оферты, если иное прямо не предусмотрено карточкой Товара или Индивидуальными условиями.</w:t>
      </w:r>
    </w:p>
    <w:p>
      <w:pPr>
        <w:pStyle w:val="Heading1"/>
        <w:keepNext/>
        <w:keepLines/>
        <w:widowControl/>
      </w:pPr>
      <w:r>
        <w:t>6. Оформление Заказа и заключение договора</w:t>
      </w:r>
    </w:p>
    <w:p>
      <w:pPr>
        <w:pStyle w:val="LegalClause"/>
        <w:keepLines/>
        <w:widowControl/>
      </w:pPr>
      <w:r>
        <w:rPr>
          <w:b/>
        </w:rPr>
        <w:t xml:space="preserve">6.1. </w:t>
      </w:r>
      <w:r>
        <w:t>Перед отправкой Заказа Покупатель проверяет Продавца (Исполнителя), модель сделки, состав и количество Товаров, цену, налоги, стоимость и срок доставки, способ оплаты, адрес и контактные данные.</w:t>
      </w:r>
    </w:p>
    <w:p>
      <w:pPr>
        <w:pStyle w:val="LegalClause"/>
        <w:keepLines/>
        <w:widowControl/>
      </w:pPr>
      <w:r>
        <w:rPr>
          <w:b/>
        </w:rPr>
        <w:t xml:space="preserve">6.2. </w:t>
      </w:r>
      <w:r>
        <w:t>После направления Заказа Платформа формирует его номер и направляет уведомление. Автоматическое уведомление о получении заявки подтверждает её регистрацию, но не всегда является акцептом, если требуется проверка наличия, техническая спецификация, расчёт доставки или согласование проекта.</w:t>
      </w:r>
    </w:p>
    <w:p>
      <w:pPr>
        <w:pStyle w:val="LegalClause"/>
        <w:keepLines/>
        <w:widowControl/>
      </w:pPr>
      <w:r>
        <w:rPr>
          <w:b/>
        </w:rPr>
        <w:t xml:space="preserve">6.3. </w:t>
      </w:r>
      <w:r>
        <w:t>При дистанционной розничной продаже Товара Покупателю-потребителю без предварительного согласования договор считается заключённым с момента получения Продавцом через Платформу сообщения Покупателя о намерении заключить договор. Если до получения такого сообщения Покупателю выдан кассовый или товарный чек либо иной документ, подтверждающий оплату Товара, договор считается заключённым с момента выдачи соответствующего документа. Обязательные нормы законодательства о моменте заключения договора применяются независимо от положений настоящего пункта.</w:t>
      </w:r>
    </w:p>
    <w:p>
      <w:pPr>
        <w:pStyle w:val="LegalClause"/>
        <w:keepLines/>
        <w:widowControl/>
      </w:pPr>
      <w:r>
        <w:rPr>
          <w:b/>
        </w:rPr>
        <w:t xml:space="preserve">6.4. </w:t>
      </w:r>
      <w:r>
        <w:t>Если в карточке Товара прямо указана необходимость предварительно согласовать наличие, комплектацию, количество, техническое задание, доставку или иные условия, направленный Заказ подтверждает намерение Покупателя согласовать сделку, но сам по себе не означает её заключения. Договор заключается с момента направления Покупателю подтверждения Продавца (Исполнителя), а если Индивидуальными условиями предусмотрено подписание отдельного договора или спецификации — с момента их подписания.</w:t>
      </w:r>
    </w:p>
    <w:p>
      <w:pPr>
        <w:pStyle w:val="LegalClause"/>
        <w:keepLines/>
        <w:widowControl/>
      </w:pPr>
      <w:r>
        <w:rPr>
          <w:b/>
        </w:rPr>
        <w:t xml:space="preserve">6.5. </w:t>
      </w:r>
      <w:r>
        <w:t>Для Покупателя, действующего в предпринимательских целях, момент заключения договора определяется Индивидуальными условиями. Если они не устанавливают иной порядок, Заказ является офертой Покупателя, а договор заключается с момента подтверждения Заказа Продавцом (Исполнителем). Выставление счёта само по себе подтверждает заключение договора только тогда, когда счёт содержит существенные условия сделки и прямо определён как оферта; оплата такого счёта является её акцептом.</w:t>
      </w:r>
    </w:p>
    <w:p>
      <w:pPr>
        <w:pStyle w:val="LegalClause"/>
        <w:keepLines/>
        <w:widowControl/>
      </w:pPr>
      <w:r>
        <w:rPr>
          <w:b/>
        </w:rPr>
        <w:t xml:space="preserve">6.6. </w:t>
      </w:r>
      <w:r>
        <w:t>Автоматическое уведомление Платформы о регистрации Заказа не является подтверждением Продавца (Исполнителя), если в уведомлении прямо не указано, что Заказ принят к исполнению. Индивидуальные условия имеют приоритет в части, не противоречащей обязательным нормам законодательства.</w:t>
      </w:r>
    </w:p>
    <w:p>
      <w:pPr>
        <w:pStyle w:val="LegalClause"/>
        <w:keepLines/>
        <w:widowControl/>
      </w:pPr>
      <w:r>
        <w:rPr>
          <w:b/>
        </w:rPr>
        <w:t xml:space="preserve">6.7. </w:t>
      </w:r>
      <w:r>
        <w:t>Для оборудования, изготавливаемого или комплектуемого под задачу Покупателя, проектных поставок, монтажа и услуг стороны могут согласовать техническое задание, этапы, допуски, порядок приёмки и ответственность в отдельном договоре. Такие условия имеют приоритет для конкретной сделки.</w:t>
      </w:r>
    </w:p>
    <w:p>
      <w:pPr>
        <w:pStyle w:val="LegalClause"/>
        <w:keepLines/>
        <w:widowControl/>
      </w:pPr>
      <w:r>
        <w:rPr>
          <w:b/>
        </w:rPr>
        <w:t xml:space="preserve">6.8. </w:t>
      </w:r>
      <w:r>
        <w:t>Если после оплаты выяснится объективная невозможность исполнения, в том числе прекращение выпуска Товара, Продавец предлагает замену или новый срок. При отказе Покупателя уплаченная сумма возвращается лицом, обязанным произвести возврат по разделу 12. Настоящее положение не предоставляет Продавцу право в одностороннем порядке отменить уже заключённый договор по мотиву отсутствия Товара, если такое право не предусмотрено обязательными нормами законодательства.</w:t>
      </w:r>
    </w:p>
    <w:p>
      <w:pPr>
        <w:pStyle w:val="Heading1"/>
        <w:keepNext/>
        <w:keepLines/>
        <w:widowControl/>
      </w:pPr>
      <w:r>
        <w:t>7. Цена и вознаграждение Оператора</w:t>
      </w:r>
    </w:p>
    <w:p>
      <w:pPr>
        <w:pStyle w:val="LegalClause"/>
        <w:keepLines/>
        <w:widowControl/>
      </w:pPr>
      <w:r>
        <w:rPr>
          <w:b/>
        </w:rPr>
        <w:t xml:space="preserve">7.1. </w:t>
      </w:r>
      <w:r>
        <w:t>Цена указывается в российских рублях. Сведения о включении НДС или применении освобождения отражаются в карточке, счёте, чеке, универсальном передаточном документе или иных расчётных документах с учётом налогового статуса Продавца.</w:t>
      </w:r>
    </w:p>
    <w:p>
      <w:pPr>
        <w:pStyle w:val="LegalClause"/>
        <w:keepLines/>
        <w:widowControl/>
      </w:pPr>
      <w:r>
        <w:rPr>
          <w:b/>
        </w:rPr>
        <w:t xml:space="preserve">7.2. </w:t>
      </w:r>
      <w:r>
        <w:t>Продавец вправе изменить цену до заключения договора. Цена подтверждённого Заказа изменяется только по соглашению сторон или в случаях, прямо предусмотренных законом.</w:t>
      </w:r>
    </w:p>
    <w:p>
      <w:pPr>
        <w:pStyle w:val="LegalClause"/>
        <w:keepLines/>
        <w:widowControl/>
      </w:pPr>
      <w:r>
        <w:rPr>
          <w:b/>
        </w:rPr>
        <w:t xml:space="preserve">7.3. </w:t>
      </w:r>
      <w:r>
        <w:t>В моделях AG-TR и AG-PR Партнёр выплачивает Оператору агентское вознаграждение. Стандартный размер составляет 10% от фактически оплаченной стоимости Товара, если договором или офертой с Партнёром не установлен иной размер. Вознаграждение не является отдельной доплатой Покупателя сверх итоговой цены Заказа.</w:t>
      </w:r>
    </w:p>
    <w:p>
      <w:pPr>
        <w:pStyle w:val="LegalClause"/>
        <w:keepLines/>
        <w:widowControl/>
      </w:pPr>
      <w:r>
        <w:rPr>
          <w:b/>
        </w:rPr>
        <w:t xml:space="preserve">7.4. </w:t>
      </w:r>
      <w:r>
        <w:t>При частичной оплате, отмене позиции или возврате вознаграждение по агентской модели рассчитывается пропорционально фактически оплаченному и не возвращённому объёму, если специальные условия с Партнёром не предусматривают иное.</w:t>
      </w:r>
    </w:p>
    <w:p>
      <w:pPr>
        <w:pStyle w:val="LegalClause"/>
        <w:keepLines/>
        <w:widowControl/>
      </w:pPr>
      <w:r>
        <w:rPr>
          <w:b/>
        </w:rPr>
        <w:t xml:space="preserve">7.5. </w:t>
      </w:r>
      <w:r>
        <w:t>Скидка, промокод или субсидия могут предоставляться Оператором, Продавцом или совместно. Условия акции публикуются отдельно и не меняют уже заключённый Заказ без согласия Покупателя.</w:t>
      </w:r>
    </w:p>
    <w:p>
      <w:pPr>
        <w:pStyle w:val="Heading1"/>
        <w:keepNext/>
        <w:keepLines/>
        <w:widowControl/>
      </w:pPr>
      <w:r>
        <w:t>8. Способы оплаты и расчёты</w:t>
      </w:r>
    </w:p>
    <w:p>
      <w:pPr>
        <w:pStyle w:val="LegalClause"/>
        <w:keepLines/>
        <w:widowControl/>
      </w:pPr>
      <w:r>
        <w:rPr>
          <w:b/>
        </w:rPr>
        <w:t xml:space="preserve">8.1. </w:t>
      </w:r>
      <w:r>
        <w:t>Доступный способ оплаты отображается при оформлении Заказа и может зависеть от статуса Покупателя, суммы, Продавца и технических возможностей. На Платформе могут быть доступны:</w:t>
      </w:r>
    </w:p>
    <w:p>
      <w:pPr>
        <w:pStyle w:val="LegalClause"/>
        <w:keepLines/>
        <w:widowControl/>
      </w:pPr>
      <w:r>
        <w:rPr>
          <w:b/>
        </w:rPr>
        <w:t xml:space="preserve">8.1.1. </w:t>
      </w:r>
      <w:r>
        <w:t>Банковская карта через платёжную форму ЮKassa;</w:t>
      </w:r>
    </w:p>
    <w:p>
      <w:pPr>
        <w:pStyle w:val="LegalClause"/>
        <w:keepLines/>
        <w:widowControl/>
      </w:pPr>
      <w:r>
        <w:rPr>
          <w:b/>
        </w:rPr>
        <w:t xml:space="preserve">8.1.2. </w:t>
      </w:r>
      <w:r>
        <w:t>Система быстрых платежей (СБП) через ЮKassa;</w:t>
      </w:r>
    </w:p>
    <w:p>
      <w:pPr>
        <w:pStyle w:val="LegalClause"/>
        <w:keepLines/>
        <w:widowControl/>
      </w:pPr>
      <w:r>
        <w:rPr>
          <w:b/>
        </w:rPr>
        <w:t xml:space="preserve">8.1.3. </w:t>
      </w:r>
      <w:r>
        <w:t>Безналичная оплата юридическим лицом или индивидуальным предпринимателем, в том числе через СберБизнес Онлайн при подключении соответствующего решения ЮKassa;</w:t>
      </w:r>
    </w:p>
    <w:p>
      <w:pPr>
        <w:pStyle w:val="LegalClause"/>
        <w:keepLines/>
        <w:widowControl/>
      </w:pPr>
      <w:r>
        <w:rPr>
          <w:b/>
        </w:rPr>
        <w:t xml:space="preserve">8.1.4. </w:t>
      </w:r>
      <w:r>
        <w:t>Банковский перевод по счёту на расчётный счёт получателя, указанного в счёте;</w:t>
      </w:r>
    </w:p>
    <w:p>
      <w:pPr>
        <w:pStyle w:val="LegalClause"/>
        <w:keepLines/>
        <w:widowControl/>
      </w:pPr>
      <w:r>
        <w:rPr>
          <w:b/>
        </w:rPr>
        <w:t xml:space="preserve">8.1.5. </w:t>
      </w:r>
      <w:r>
        <w:t>Оплата по этапам, если график и условия этапов закреплены в Заказе или Индивидуальных условиях.</w:t>
      </w:r>
    </w:p>
    <w:p>
      <w:pPr>
        <w:pStyle w:val="LegalClause"/>
        <w:keepLines/>
        <w:widowControl/>
      </w:pPr>
      <w:r>
        <w:rPr>
          <w:b/>
        </w:rPr>
        <w:t xml:space="preserve">8.2. </w:t>
      </w:r>
      <w:r>
        <w:t>Операции с банковскими картами и иными платёжными инструментами выполняются Платёжным партнёром по его правилам. Оператор не получает полные реквизиты банковской карты. Платёжный партнёр или банк вправе отказать в операции по основаниям законодательства и собственных правил.</w:t>
      </w:r>
    </w:p>
    <w:p>
      <w:pPr>
        <w:pStyle w:val="LegalClause"/>
        <w:keepLines/>
        <w:widowControl/>
      </w:pPr>
      <w:r>
        <w:rPr>
          <w:b/>
        </w:rPr>
        <w:t xml:space="preserve">8.3. </w:t>
      </w:r>
      <w:r>
        <w:t>Покупатель обязан использовать платёжный инструмент правомерно, указывать корректное назначение платежа при банковском переводе и сохранять подтверждающие документы до полного исполнения Заказа.</w:t>
      </w:r>
    </w:p>
    <w:p>
      <w:pPr>
        <w:pStyle w:val="LegalClause"/>
        <w:keepLines/>
        <w:widowControl/>
      </w:pPr>
      <w:r>
        <w:rPr>
          <w:b/>
        </w:rPr>
        <w:t xml:space="preserve">8.4. </w:t>
      </w:r>
      <w:r>
        <w:t>В основной модели AG-TR Покупатель перечисляет полную цену Заказа ООО «Пищевые технологии», действующему как агент Партнёра и организатор расчётов. Обязательство Покупателя по оплате перед Продавцом считается исполненным в размере поступившей суммы с момента её зачисления получателю либо получения подтверждения Платёжного партнёра об успешной оплате.</w:t>
      </w:r>
    </w:p>
    <w:p>
      <w:pPr>
        <w:pStyle w:val="LegalClause"/>
        <w:keepLines/>
        <w:widowControl/>
      </w:pPr>
      <w:r>
        <w:rPr>
          <w:b/>
        </w:rPr>
        <w:t xml:space="preserve">8.5. </w:t>
      </w:r>
      <w:r>
        <w:t>В модели AG-TR средства, причитающиеся Партнёру, учитываются Оператором как средства для последующего расчёта с Партнёром. Оператор удерживает агентское вознаграждение и перечисляет остаток Партнёру в сроки и порядке, установленные договором с Партнёром. Покупатель не участвует во внутренних расчётах Оператора и Партнёра.</w:t>
      </w:r>
    </w:p>
    <w:p>
      <w:pPr>
        <w:pStyle w:val="LegalClause"/>
        <w:keepLines/>
        <w:widowControl/>
      </w:pPr>
      <w:r>
        <w:rPr>
          <w:b/>
        </w:rPr>
        <w:t xml:space="preserve">8.6. </w:t>
      </w:r>
      <w:r>
        <w:t>В модели AG-PR Покупатель перечисляет цену непосредственно Партнёру по указанным реквизитам. Оператор не принимает цену Заказа; Партнёр самостоятельно подтверждает оплату, оформляет расчётные документы и возвращает денежные средства при наличии оснований.</w:t>
      </w:r>
    </w:p>
    <w:p>
      <w:pPr>
        <w:pStyle w:val="LegalClause"/>
        <w:keepLines/>
        <w:widowControl/>
      </w:pPr>
      <w:r>
        <w:rPr>
          <w:b/>
        </w:rPr>
        <w:t xml:space="preserve">8.7. </w:t>
      </w:r>
      <w:r>
        <w:t>В моделях PP, KP и USL денежные средства принимает ООО «Пищевые технологии» как продавец, генеральный поставщик, подрядчик или исполнитель. При этапной оплате обязанность по каждому этапу исполняется отдельно по согласованному графику.</w:t>
      </w:r>
    </w:p>
    <w:p>
      <w:pPr>
        <w:pStyle w:val="LegalClause"/>
        <w:keepLines/>
        <w:widowControl/>
      </w:pPr>
      <w:r>
        <w:rPr>
          <w:b/>
        </w:rPr>
        <w:t xml:space="preserve">8.8. </w:t>
      </w:r>
      <w:r>
        <w:t>Комиссии банка Покупателя за перевод, если они предусмотрены тарифами банка и не включены в цену Заказа, несёт Покупатель. Комиссии Платёжного партнёра и внутренние расходы участников сделки распределяются по договорам между соответствующими лицами.</w:t>
      </w:r>
    </w:p>
    <w:p>
      <w:pPr>
        <w:pStyle w:val="Heading1"/>
        <w:keepNext/>
        <w:keepLines/>
        <w:widowControl/>
      </w:pPr>
      <w:r>
        <w:t>9. Кассовые чеки и закрывающие документы</w:t>
      </w:r>
    </w:p>
    <w:p>
      <w:pPr>
        <w:pStyle w:val="LegalClause"/>
        <w:keepLines/>
        <w:widowControl/>
      </w:pPr>
      <w:r>
        <w:rPr>
          <w:b/>
        </w:rPr>
        <w:t xml:space="preserve">9.1. </w:t>
      </w:r>
      <w:r>
        <w:t>Кассовый чек формируется лицом, обязанным применять контрольно-кассовую технику, в соответствии с Федеральным законом от 22.05.2003 № 54-ФЗ. При агентском расчёте чек содержит предусмотренные законом признаки расчёта и сведения о Поставщике, если они обязательны.</w:t>
      </w:r>
    </w:p>
    <w:p>
      <w:pPr>
        <w:pStyle w:val="LegalClause"/>
        <w:keepLines/>
        <w:widowControl/>
      </w:pPr>
      <w:r>
        <w:rPr>
          <w:b/>
        </w:rPr>
        <w:t xml:space="preserve">9.2. </w:t>
      </w:r>
      <w:r>
        <w:t>В моделях AG-TR и AG-PR Партнёр оформляет Покупателю универсальный передаточный документ, товарную накладную, акт или иной документ на Товар, работу или услугу. Оператор формирует Партнёру агентский отчёт и документы на своё вознаграждение в соответствии с договором с Партнёром.</w:t>
      </w:r>
    </w:p>
    <w:p>
      <w:pPr>
        <w:pStyle w:val="LegalClause"/>
        <w:keepLines/>
        <w:widowControl/>
      </w:pPr>
      <w:r>
        <w:rPr>
          <w:b/>
        </w:rPr>
        <w:t xml:space="preserve">9.3. </w:t>
      </w:r>
      <w:r>
        <w:t>В моделях PP, KP и USL документы Покупателю оформляет ООО «Пищевые технологии» в соответствующем качестве. Электронные документы могут направляться через операторов электронного документооборота, Личный кабинет или согласованную электронную почту.</w:t>
      </w:r>
    </w:p>
    <w:p>
      <w:pPr>
        <w:pStyle w:val="LegalClause"/>
        <w:keepLines/>
        <w:widowControl/>
      </w:pPr>
      <w:r>
        <w:rPr>
          <w:b/>
        </w:rPr>
        <w:t xml:space="preserve">9.4. </w:t>
      </w:r>
      <w:r>
        <w:t>Покупатель отвечает за правильность реквизитов, сообщённых для закрывающих документов. Исправление по причине ошибочных данных Покупателя выполняется в разумный срок после получения полного запроса.</w:t>
      </w:r>
    </w:p>
    <w:p>
      <w:pPr>
        <w:pStyle w:val="Heading1"/>
        <w:keepNext/>
        <w:keepLines/>
        <w:widowControl/>
      </w:pPr>
      <w:r>
        <w:t>10. Доставка, передача и выполнение работ</w:t>
      </w:r>
    </w:p>
    <w:p>
      <w:pPr>
        <w:pStyle w:val="LegalClause"/>
        <w:keepLines/>
        <w:widowControl/>
      </w:pPr>
      <w:r>
        <w:rPr>
          <w:b/>
        </w:rPr>
        <w:t xml:space="preserve">10.1. </w:t>
      </w:r>
      <w:r>
        <w:t>Доступные способы, территория, стоимость и ориентировочный срок доставки указываются в карточке, Заказе или Индивидуальных условиях. Для крупногабаритного оборудования стоимость может рассчитываться после уточнения адреса, габаритов, разгрузки и условий доступа.</w:t>
      </w:r>
    </w:p>
    <w:p>
      <w:pPr>
        <w:pStyle w:val="LegalClause"/>
        <w:keepLines/>
        <w:widowControl/>
      </w:pPr>
      <w:r>
        <w:rPr>
          <w:b/>
        </w:rPr>
        <w:t xml:space="preserve">10.2. </w:t>
      </w:r>
      <w:r>
        <w:t>Доставку осуществляет Продавец, привлечённый им перевозчик либо иное лицо, указанное в Заказе. В агентской модели обязанность по передаче Товара лежит на Партнёре, если Оператор прямо не принял её на себя отдельным условием.</w:t>
      </w:r>
    </w:p>
    <w:p>
      <w:pPr>
        <w:pStyle w:val="LegalClause"/>
        <w:keepLines/>
        <w:widowControl/>
      </w:pPr>
      <w:r>
        <w:rPr>
          <w:b/>
        </w:rPr>
        <w:t xml:space="preserve">10.3. </w:t>
      </w:r>
      <w:r>
        <w:t>Покупатель обеспечивает возможность доставки и приёмки: достоверный адрес и контакты, доступ на объект, пропуска, место разгрузки, подъёмные механизмы и персонал — в объёме, согласованном сторонами. Дополнительные расходы из-за непредоставления согласованных условий могут быть возложены на Покупателя в установленном законом порядке.</w:t>
      </w:r>
    </w:p>
    <w:p>
      <w:pPr>
        <w:pStyle w:val="LegalClause"/>
        <w:keepLines/>
        <w:widowControl/>
      </w:pPr>
      <w:r>
        <w:rPr>
          <w:b/>
        </w:rPr>
        <w:t xml:space="preserve">10.4. </w:t>
      </w:r>
      <w:r>
        <w:t>При получении Покупатель проверяет количество мест, целостность упаковки и видимые повреждения. Выявленные нарушения фиксируются в документах перевозчика, фото- или видеоматериалах. Отсутствие отметки не лишает Покупателя права заявить о скрытом недостатке.</w:t>
      </w:r>
    </w:p>
    <w:p>
      <w:pPr>
        <w:pStyle w:val="LegalClause"/>
        <w:keepLines/>
        <w:widowControl/>
      </w:pPr>
      <w:r>
        <w:rPr>
          <w:b/>
        </w:rPr>
        <w:t xml:space="preserve">10.5. </w:t>
      </w:r>
      <w:r>
        <w:t>Момент передачи, переход риска случайной гибели, право собственности и срок выполнения работ определяются законом и Индивидуальными условиями с учётом статуса Покупателя.</w:t>
      </w:r>
    </w:p>
    <w:p>
      <w:pPr>
        <w:pStyle w:val="Heading1"/>
        <w:keepNext/>
        <w:keepLines/>
        <w:widowControl/>
      </w:pPr>
      <w:r>
        <w:t>11. Приёмка товаров, работ и услуг</w:t>
      </w:r>
    </w:p>
    <w:p>
      <w:pPr>
        <w:pStyle w:val="LegalClause"/>
        <w:keepLines/>
        <w:widowControl/>
      </w:pPr>
      <w:r>
        <w:rPr>
          <w:b/>
        </w:rPr>
        <w:t xml:space="preserve">11.1. </w:t>
      </w:r>
      <w:r>
        <w:t>Передача Товара подтверждается универсальным передаточным документом, накладной, актом, документом перевозчика, кодом получения или иным согласованным способом. Выполнение работ и услуг подтверждается актом либо предусмотренным договором электронным подтверждением.</w:t>
      </w:r>
    </w:p>
    <w:p>
      <w:pPr>
        <w:pStyle w:val="LegalClause"/>
        <w:keepLines/>
        <w:widowControl/>
      </w:pPr>
      <w:r>
        <w:rPr>
          <w:b/>
        </w:rPr>
        <w:t xml:space="preserve">11.2. </w:t>
      </w:r>
      <w:r>
        <w:t>Покупатель-организация осматривает результат и направляет мотивированные замечания в срок, установленный Индивидуальными условиями. Молчание признаётся приёмкой только тогда, когда это прямо согласовано и не противоречит закону.</w:t>
      </w:r>
    </w:p>
    <w:p>
      <w:pPr>
        <w:pStyle w:val="LegalClause"/>
        <w:keepLines/>
        <w:widowControl/>
      </w:pPr>
      <w:r>
        <w:rPr>
          <w:b/>
        </w:rPr>
        <w:t xml:space="preserve">11.3. </w:t>
      </w:r>
      <w:r>
        <w:t>Права Покупателя-потребителя в отношении недостатков, комплектности, качества и сроков не могут быть ограничены формальным подписанием документа или отсутствием отметки о дефекте, если обязательная норма закона предусматривает иное.</w:t>
      </w:r>
    </w:p>
    <w:p>
      <w:pPr>
        <w:pStyle w:val="Heading1"/>
        <w:keepNext/>
        <w:keepLines/>
        <w:widowControl/>
      </w:pPr>
      <w:r>
        <w:t>12. Отмена, возврат товара и денежных средств</w:t>
      </w:r>
    </w:p>
    <w:p>
      <w:pPr>
        <w:pStyle w:val="LegalClause"/>
        <w:keepLines/>
        <w:widowControl/>
      </w:pPr>
      <w:r>
        <w:rPr>
          <w:b/>
        </w:rPr>
        <w:t xml:space="preserve">12.1. </w:t>
      </w:r>
      <w:r>
        <w:t>Порядок возврата определяется статусом Покупателя, видом Товара, моделью сделки, причиной возврата и законом. Информация о способе обращения размещается на Платформе и может уточняться в Заказе.</w:t>
      </w:r>
    </w:p>
    <w:p>
      <w:pPr>
        <w:pStyle w:val="LegalClause"/>
        <w:keepLines/>
        <w:widowControl/>
      </w:pPr>
      <w:r>
        <w:rPr>
          <w:b/>
        </w:rPr>
        <w:t xml:space="preserve">12.2. </w:t>
      </w:r>
      <w:r>
        <w:t>Покупатель-потребитель вправе отказаться от товара, приобретённого дистанционно, в любое время до его передачи, а после передачи — в течение семи дней. Если письменная информация о порядке и сроках возврата товара надлежащего качества не была предоставлена при доставке, срок отказа составляет три месяца с момента передачи.</w:t>
      </w:r>
    </w:p>
    <w:p>
      <w:pPr>
        <w:pStyle w:val="LegalClause"/>
        <w:keepLines/>
        <w:widowControl/>
      </w:pPr>
      <w:r>
        <w:rPr>
          <w:b/>
        </w:rPr>
        <w:t xml:space="preserve">12.3. </w:t>
      </w:r>
      <w:r>
        <w:t>Возврат товара надлежащего качества потребителем возможен при сохранении товарного вида и потребительских свойств, а также документа о покупке либо иных доказательств. Право отказа не применяется к товару надлежащего качества с индивидуально-определёнными свойствами, который может использоваться исключительно приобретающим его потребителем.</w:t>
      </w:r>
    </w:p>
    <w:p>
      <w:pPr>
        <w:pStyle w:val="LegalClause"/>
        <w:keepLines/>
        <w:widowControl/>
      </w:pPr>
      <w:r>
        <w:rPr>
          <w:b/>
        </w:rPr>
        <w:t xml:space="preserve">12.4. </w:t>
      </w:r>
      <w:r>
        <w:t>При законном отказе потребителя уплаченная сумма возвращается не позднее десяти дней со дня предъявления требования, за вычетом расходов на доставку возвращённого товара от потребителя, если такое удержание допускается законом. Права при недостатках товара определяются Законом о защите прав потребителей и не ограничиваются настоящим разделом.</w:t>
      </w:r>
    </w:p>
    <w:p>
      <w:pPr>
        <w:pStyle w:val="LegalClause"/>
        <w:keepLines/>
        <w:widowControl/>
      </w:pPr>
      <w:r>
        <w:rPr>
          <w:b/>
        </w:rPr>
        <w:t xml:space="preserve">12.5. </w:t>
      </w:r>
      <w:r>
        <w:t>Для юридических лиц и индивидуальных предпринимателей отмена, возврат качественного Товара и последствия одностороннего отказа определяются Гражданским кодексом Российской Федерации и Индивидуальными условиями. Само по себе отсутствие дальнейшей потребности в Товаре не создаёт права на возврат, если иное не согласовано.</w:t>
      </w:r>
    </w:p>
    <w:p>
      <w:pPr>
        <w:pStyle w:val="LegalClause"/>
        <w:keepLines/>
        <w:widowControl/>
      </w:pPr>
      <w:r>
        <w:rPr>
          <w:b/>
        </w:rPr>
        <w:t xml:space="preserve">12.6. </w:t>
      </w:r>
      <w:r>
        <w:t>В модели AG-TR запрос направляется через Платформу или Оператору. Оператор координирует проверку с Партнёром и, при наличии оснований, возвращает принятую сумму тем же способом, если это технически возможно; взаиморасчёты с Партнёром производятся по партнёрскому договору.</w:t>
      </w:r>
    </w:p>
    <w:p>
      <w:pPr>
        <w:pStyle w:val="LegalClause"/>
        <w:keepLines/>
        <w:widowControl/>
      </w:pPr>
      <w:r>
        <w:rPr>
          <w:b/>
        </w:rPr>
        <w:t xml:space="preserve">12.7. </w:t>
      </w:r>
      <w:r>
        <w:t>В модели AG-PR возврат производит Партнёр как прямой получатель оплаты. Оператор содействует обмену сведениями и рассмотрению обращения, но не может вернуть средства, которые ему не поступали.</w:t>
      </w:r>
    </w:p>
    <w:p>
      <w:pPr>
        <w:pStyle w:val="LegalClause"/>
        <w:keepLines/>
        <w:widowControl/>
      </w:pPr>
      <w:r>
        <w:rPr>
          <w:b/>
        </w:rPr>
        <w:t xml:space="preserve">12.8. </w:t>
      </w:r>
      <w:r>
        <w:t>В моделях PP, KP и USL возврат производит ООО «Пищевые технологии» как сторона договора с Покупателем с учётом фактически переданного Товара, принятых этапов, понесённых расходов и обязательных норм закона.</w:t>
      </w:r>
    </w:p>
    <w:p>
      <w:pPr>
        <w:pStyle w:val="LegalClause"/>
        <w:keepLines/>
        <w:widowControl/>
      </w:pPr>
      <w:r>
        <w:rPr>
          <w:b/>
        </w:rPr>
        <w:t xml:space="preserve">12.9. </w:t>
      </w:r>
      <w:r>
        <w:t>Если Покупатель-потребитель внёс Оператору предварительную оплату, а Продавец не передал Товар в установленный срок, Покупатель вправе потребовать от Оператора возврата полученной им предварительной оплаты в случаях и порядке, предусмотренных статьёй 12 Закона о защите прав потребителей. Оператор возвращает соответствующую сумму в установленный законом срок при одновременном наличии предусмотренных законом условий. Уведомление Продавцу об отказе от договора в связи с нарушением срока передачи Товара может быть направлено через Оператора; Оператор обеспечивает его передачу Продавцу. Если уведомление направлено непосредственно Продавцу, Покупатель представляет Оператору подтверждение его направления.</w:t>
      </w:r>
    </w:p>
    <w:p>
      <w:pPr>
        <w:pStyle w:val="LegalClause"/>
        <w:keepLines/>
        <w:widowControl/>
      </w:pPr>
      <w:r>
        <w:rPr>
          <w:b/>
        </w:rPr>
        <w:t xml:space="preserve">12.10. </w:t>
      </w:r>
      <w:r>
        <w:t>Срок фактического зачисления после оформления возврата зависит от банка и Платёжного партнёра. При возврате на иные реквизиты Оператор вправе запросить подтверждение личности, полномочий и принадлежности счёта для предотвращения мошенничества и легализации доходов.</w:t>
      </w:r>
    </w:p>
    <w:p>
      <w:pPr>
        <w:pStyle w:val="Heading1"/>
        <w:keepNext/>
        <w:keepLines/>
        <w:widowControl/>
      </w:pPr>
      <w:r>
        <w:t>13. Качество, гарантия и претензии</w:t>
      </w:r>
    </w:p>
    <w:p>
      <w:pPr>
        <w:pStyle w:val="LegalClause"/>
        <w:keepLines/>
        <w:widowControl/>
      </w:pPr>
      <w:r>
        <w:rPr>
          <w:b/>
        </w:rPr>
        <w:t xml:space="preserve">13.1. </w:t>
      </w:r>
      <w:r>
        <w:t>Товар должен соответствовать описанию, обязательным требованиям, документации производителя и Индивидуальным условиям. Гарантийный срок и сервисная организация указываются в карточке, гарантийном талоне, паспорте, спецификации или договоре.</w:t>
      </w:r>
    </w:p>
    <w:p>
      <w:pPr>
        <w:pStyle w:val="LegalClause"/>
        <w:keepLines/>
        <w:widowControl/>
      </w:pPr>
      <w:r>
        <w:rPr>
          <w:b/>
        </w:rPr>
        <w:t xml:space="preserve">13.2. </w:t>
      </w:r>
      <w:r>
        <w:t>В моделях AG-TR и AG-PR требования к качеству, комплектности, ремонту, замене и возмещению убытков предъявляются Партнёру как Продавцу. Покупатель вправе направить обращение через Оператора; Оператор регистрирует его, передаёт Партнёру, сообщает статус и исполняет собственные обязанности, предусмотренные законом.</w:t>
      </w:r>
    </w:p>
    <w:p>
      <w:pPr>
        <w:pStyle w:val="LegalClause"/>
        <w:keepLines/>
        <w:widowControl/>
      </w:pPr>
      <w:r>
        <w:rPr>
          <w:b/>
        </w:rPr>
        <w:t xml:space="preserve">13.3. </w:t>
      </w:r>
      <w:r>
        <w:t>В моделях PP, KP и USL требования предъявляются ООО «Пищевые технологии». Если гарантийное обслуживание выполняет изготовитель или авторизованный сервисный центр, это не исключает ответственность Продавца (Исполнителя) в случаях, предусмотренных законом.</w:t>
      </w:r>
    </w:p>
    <w:p>
      <w:pPr>
        <w:pStyle w:val="LegalClause"/>
        <w:keepLines/>
        <w:widowControl/>
      </w:pPr>
      <w:r>
        <w:rPr>
          <w:b/>
        </w:rPr>
        <w:t xml:space="preserve">13.4. </w:t>
      </w:r>
      <w:r>
        <w:t>Обращение должно позволять идентифицировать Заказ и обстоятельства: номер Заказа, наименование Товара, описание недостатка, требование, контактные данные и, при наличии, фотографии, видео, акт или заключение сервиса. Отсутствие необязательного документа не является основанием для автоматического отказа.</w:t>
      </w:r>
    </w:p>
    <w:p>
      <w:pPr>
        <w:pStyle w:val="LegalClause"/>
        <w:keepLines/>
        <w:widowControl/>
      </w:pPr>
      <w:r>
        <w:rPr>
          <w:b/>
        </w:rPr>
        <w:t xml:space="preserve">13.5. </w:t>
      </w:r>
      <w:r>
        <w:t>В модели AG-TR Оператор вправе приостановить расчёт с Партнёром в спорной части на период проверки обоснованной претензии, если это предусмотрено партнёрским договором. Такое приостановление не изменяет сроки удовлетворения требований Покупателя, установленные законом.</w:t>
      </w:r>
    </w:p>
    <w:p>
      <w:pPr>
        <w:pStyle w:val="Heading1"/>
        <w:keepNext/>
        <w:keepLines/>
        <w:widowControl/>
      </w:pPr>
      <w:r>
        <w:t>14. Права и обязанности Пользователя</w:t>
      </w:r>
    </w:p>
    <w:p>
      <w:pPr>
        <w:pStyle w:val="LegalClause"/>
        <w:keepLines/>
        <w:widowControl/>
      </w:pPr>
      <w:r>
        <w:rPr>
          <w:b/>
        </w:rPr>
        <w:t xml:space="preserve">14.1. </w:t>
      </w:r>
      <w:r>
        <w:t>Пользователь вправе получать достоверную информацию о Платформе и Заказе, выбирать доступные предложения и способы оплаты, направлять обращения, пользоваться предусмотренными законом средствами защиты.</w:t>
      </w:r>
    </w:p>
    <w:p>
      <w:pPr>
        <w:pStyle w:val="LegalClause"/>
        <w:keepLines/>
        <w:widowControl/>
      </w:pPr>
      <w:r>
        <w:rPr>
          <w:b/>
        </w:rPr>
        <w:t xml:space="preserve">14.2. </w:t>
      </w:r>
      <w:r>
        <w:t>Пользователь обязан предоставлять точные данные, добросовестно взаимодействовать с участниками сделки, своевременно принимать Товар или результат, соблюдать согласованные требования объекта и не злоупотреблять правами.</w:t>
      </w:r>
    </w:p>
    <w:p>
      <w:pPr>
        <w:pStyle w:val="LegalClause"/>
        <w:keepLines/>
        <w:widowControl/>
      </w:pPr>
      <w:r>
        <w:rPr>
          <w:b/>
        </w:rPr>
        <w:t xml:space="preserve">14.3. </w:t>
      </w:r>
      <w:r>
        <w:t>Запрещается вмешиваться в работу Платформы, обходить меры безопасности, использовать автоматизированный сбор данных без разрешения, размещать вредоносный код, выдавать себя за другое лицо, совершать мошеннические платежи, публиковать незаконный контент или нарушать права третьих лиц.</w:t>
      </w:r>
    </w:p>
    <w:p>
      <w:pPr>
        <w:pStyle w:val="LegalClause"/>
        <w:keepLines/>
        <w:widowControl/>
      </w:pPr>
      <w:r>
        <w:rPr>
          <w:b/>
        </w:rPr>
        <w:t xml:space="preserve">14.4. </w:t>
      </w:r>
      <w:r>
        <w:t>Отзывы и материалы Пользователя должны относиться к опыту взаимодействия, не содержать персональных данных третьих лиц без основания, коммерческой тайны, оскорблений, недостоверных обвинений, рекламы и запрещённой информации. Оператор вправе модерировать материалы и хранит сведения о применённых мерах в предусмотренном законом объёме.</w:t>
      </w:r>
    </w:p>
    <w:p>
      <w:pPr>
        <w:pStyle w:val="Heading1"/>
        <w:keepNext/>
        <w:keepLines/>
        <w:widowControl/>
      </w:pPr>
      <w:r>
        <w:t>15. Правила для Партнёров</w:t>
      </w:r>
    </w:p>
    <w:p>
      <w:pPr>
        <w:pStyle w:val="LegalClause"/>
        <w:keepLines/>
        <w:widowControl/>
      </w:pPr>
      <w:r>
        <w:rPr>
          <w:b/>
        </w:rPr>
        <w:t xml:space="preserve">15.1. </w:t>
      </w:r>
      <w:r>
        <w:t>До допуска к размещению Партнёр предоставляет сведения, позволяющие проверить его регистрацию и полномочия, банковские и контактные данные, информацию о товарах, сертификаты, декларации, лицензии и иные обязательные документы.</w:t>
      </w:r>
    </w:p>
    <w:p>
      <w:pPr>
        <w:pStyle w:val="LegalClause"/>
        <w:keepLines/>
        <w:widowControl/>
      </w:pPr>
      <w:r>
        <w:rPr>
          <w:b/>
        </w:rPr>
        <w:t xml:space="preserve">15.2. </w:t>
      </w:r>
      <w:r>
        <w:t>Партнёр обязан поддерживать актуальность цены, наличия и срока поставки; своевременно подтверждать Заказы; передавать качественный и легальный Товар; оформлять документы; рассматривать обращения Покупателей и соблюдать правила Платформы.</w:t>
      </w:r>
    </w:p>
    <w:p>
      <w:pPr>
        <w:pStyle w:val="LegalClause"/>
        <w:keepLines/>
        <w:widowControl/>
      </w:pPr>
      <w:r>
        <w:rPr>
          <w:b/>
        </w:rPr>
        <w:t xml:space="preserve">15.3. </w:t>
      </w:r>
      <w:r>
        <w:t>Оператор вправе отклонить карточку, ограничить её показ, приостановить функциональность либо расторгнуть отношения с Партнёром при нарушении закона или договора, угрозе Покупателям, непредоставлении документов, недостоверных сведениях либо признаках мошенничества.</w:t>
      </w:r>
    </w:p>
    <w:p>
      <w:pPr>
        <w:pStyle w:val="LegalClause"/>
        <w:keepLines/>
        <w:widowControl/>
      </w:pPr>
      <w:r>
        <w:rPr>
          <w:b/>
        </w:rPr>
        <w:t xml:space="preserve">15.4. </w:t>
      </w:r>
      <w:r>
        <w:t>Причины меры, способ обжалования и сроки рассмотрения сообщаются Партнёру через Личный кабинет или согласованный канал. С 1 октября 2026 года обращения Партнёров в рамках досудебного порядка рассматриваются в сроки Федерального закона от 31.07.2025 № 289-ФЗ, включая общий срок ответа не более пятнадцати дней, если закон не устанавливает иное.</w:t>
      </w:r>
    </w:p>
    <w:p>
      <w:pPr>
        <w:pStyle w:val="LegalClause"/>
        <w:keepLines/>
        <w:widowControl/>
      </w:pPr>
      <w:r>
        <w:rPr>
          <w:b/>
        </w:rPr>
        <w:t xml:space="preserve">15.5. </w:t>
      </w:r>
      <w:r>
        <w:t>Полные условия допуска, ранжирования, скидок, вознаграждения, расчётов, ответственности и прекращения сотрудничества закрепляются в отдельном договоре или оферте для Партнёров.</w:t>
      </w:r>
    </w:p>
    <w:p>
      <w:pPr>
        <w:pStyle w:val="Heading1"/>
        <w:keepNext/>
        <w:keepLines/>
        <w:widowControl/>
      </w:pPr>
      <w:r>
        <w:t>16. Интеллектуальная собственность</w:t>
      </w:r>
    </w:p>
    <w:p>
      <w:pPr>
        <w:pStyle w:val="LegalClause"/>
        <w:keepLines/>
        <w:widowControl/>
      </w:pPr>
      <w:r>
        <w:rPr>
          <w:b/>
        </w:rPr>
        <w:t xml:space="preserve">16.1. </w:t>
      </w:r>
      <w:r>
        <w:t>Исключительные права на Платформу, её программный код, структуру, дизайн, обозначения PROMTA.PRO, базы данных и созданные Оператором материалы принадлежат Оператору или законным правообладателям.</w:t>
      </w:r>
    </w:p>
    <w:p>
      <w:pPr>
        <w:pStyle w:val="LegalClause"/>
        <w:keepLines/>
        <w:widowControl/>
      </w:pPr>
      <w:r>
        <w:rPr>
          <w:b/>
        </w:rPr>
        <w:t xml:space="preserve">16.2. </w:t>
      </w:r>
      <w:r>
        <w:t>Пользователю предоставляется ограниченное, неисключительное и непередаваемое право использовать функциональность по назначению на срок действия Соглашения. Копирование, перепродажа доступа, декомпиляция и создание производных решений без законного основания запрещены.</w:t>
      </w:r>
    </w:p>
    <w:p>
      <w:pPr>
        <w:pStyle w:val="LegalClause"/>
        <w:keepLines/>
        <w:widowControl/>
      </w:pPr>
      <w:r>
        <w:rPr>
          <w:b/>
        </w:rPr>
        <w:t xml:space="preserve">16.3. </w:t>
      </w:r>
      <w:r>
        <w:t>Размещая материалы, Партнёр или Пользователь подтверждает наличие прав и предоставляет Оператору безвозмездное неисключительное право воспроизводить, адаптировать к интерфейсу, доводить до всеобщего сведения и использовать материалы для работы и продвижения Платформы в течение срока размещения и разумного архивного периода.</w:t>
      </w:r>
    </w:p>
    <w:p>
      <w:pPr>
        <w:pStyle w:val="LegalClause"/>
        <w:keepLines/>
        <w:widowControl/>
      </w:pPr>
      <w:r>
        <w:rPr>
          <w:b/>
        </w:rPr>
        <w:t xml:space="preserve">16.4. </w:t>
      </w:r>
      <w:r>
        <w:t>Уведомления о предполагаемом нарушении прав направляются на pt24@pt24.ru с описанием объекта, основания прав, спорного материала и контактами заявителя.</w:t>
      </w:r>
    </w:p>
    <w:p>
      <w:pPr>
        <w:pStyle w:val="Heading1"/>
        <w:keepNext/>
        <w:keepLines/>
        <w:widowControl/>
      </w:pPr>
      <w:r>
        <w:t>17. Персональные данные и конфиденциальность</w:t>
      </w:r>
    </w:p>
    <w:p>
      <w:pPr>
        <w:pStyle w:val="LegalClause"/>
        <w:keepLines/>
        <w:widowControl/>
      </w:pPr>
      <w:r>
        <w:rPr>
          <w:b/>
        </w:rPr>
        <w:t xml:space="preserve">17.1. </w:t>
      </w:r>
      <w:r>
        <w:t>Оператор обрабатывает персональные данные в соответствии с Федеральным законом от 27.07.2006 № 152-ФЗ и опубликованной на Платформе Политикой обработки персональных данных.</w:t>
      </w:r>
    </w:p>
    <w:p>
      <w:pPr>
        <w:pStyle w:val="LegalClause"/>
        <w:keepLines/>
        <w:widowControl/>
      </w:pPr>
      <w:r>
        <w:rPr>
          <w:b/>
        </w:rPr>
        <w:t xml:space="preserve">17.2. </w:t>
      </w:r>
      <w:r>
        <w:t>Правовыми основаниями обработки могут являться заключение и исполнение договора, выполнение обязанности по закону, законный интерес в защите Платформы, а в предусмотренных случаях — отдельное согласие субъекта. Текст такого согласия не включается в настоящее Соглашение и предоставляется отдельно.</w:t>
      </w:r>
    </w:p>
    <w:p>
      <w:pPr>
        <w:pStyle w:val="LegalClause"/>
        <w:keepLines/>
        <w:widowControl/>
      </w:pPr>
      <w:r>
        <w:rPr>
          <w:b/>
        </w:rPr>
        <w:t xml:space="preserve">17.3. </w:t>
      </w:r>
      <w:r>
        <w:t>Для исполнения Заказа необходимые данные могут передаваться Продавцу, Платёжному партнёру, банку, перевозчику, оператору электронного документооборота, сервисной организации и иным исполнителям. Передаётся только объём, необходимый для соответствующей цели.</w:t>
      </w:r>
    </w:p>
    <w:p>
      <w:pPr>
        <w:pStyle w:val="LegalClause"/>
        <w:keepLines/>
        <w:widowControl/>
      </w:pPr>
      <w:r>
        <w:rPr>
          <w:b/>
        </w:rPr>
        <w:t xml:space="preserve">17.4. </w:t>
      </w:r>
      <w:r>
        <w:t>Оператор применяет правовые, организационные и технические меры защиты. Пользователь понимает, что безопасность также зависит от сохранности его устройств, почты, номера телефона и средств доступа.</w:t>
      </w:r>
    </w:p>
    <w:p>
      <w:pPr>
        <w:pStyle w:val="LegalClause"/>
        <w:keepLines/>
        <w:widowControl/>
      </w:pPr>
      <w:r>
        <w:rPr>
          <w:b/>
        </w:rPr>
        <w:t xml:space="preserve">17.5. </w:t>
      </w:r>
      <w:r>
        <w:t>Сроки хранения определяются целями обработки, договором и обязательными требованиями. Отзыв согласия не прекращает обработку, для которой существует иное законное основание.</w:t>
      </w:r>
    </w:p>
    <w:p>
      <w:pPr>
        <w:pStyle w:val="Heading1"/>
        <w:keepNext/>
        <w:keepLines/>
        <w:widowControl/>
      </w:pPr>
      <w:r>
        <w:t>18. Ответственность</w:t>
      </w:r>
    </w:p>
    <w:p>
      <w:pPr>
        <w:pStyle w:val="LegalClause"/>
        <w:keepLines/>
        <w:widowControl/>
      </w:pPr>
      <w:r>
        <w:rPr>
          <w:b/>
        </w:rPr>
        <w:t xml:space="preserve">18.1. </w:t>
      </w:r>
      <w:r>
        <w:t>Каждая сторона отвечает за неисполнение обязательств при наличии оснований, предусмотренных законом и договором. Ограничения настоящего раздела не применяются к ответственности, которую нельзя исключить или уменьшить соглашением.</w:t>
      </w:r>
    </w:p>
    <w:p>
      <w:pPr>
        <w:pStyle w:val="LegalClause"/>
        <w:keepLines/>
        <w:widowControl/>
      </w:pPr>
      <w:r>
        <w:rPr>
          <w:b/>
        </w:rPr>
        <w:t xml:space="preserve">18.2. </w:t>
      </w:r>
      <w:r>
        <w:t>В моделях AG-TR и AG-PR Партнёр отвечает за достоверность сведений о своём предложении, законность оборота, качество, комплектность, срок поставки, гарантию и документы. Оператор отвечает за собственные сведения и действия, работу предоставляемого им функционала в разумных пределах и обязательные обязанности владельца агрегатора, если они применимы.</w:t>
      </w:r>
    </w:p>
    <w:p>
      <w:pPr>
        <w:pStyle w:val="LegalClause"/>
        <w:keepLines/>
        <w:widowControl/>
      </w:pPr>
      <w:r>
        <w:rPr>
          <w:b/>
        </w:rPr>
        <w:t xml:space="preserve">18.3. </w:t>
      </w:r>
      <w:r>
        <w:t>В моделях PP, KP и USL Оператор отвечает как сторона соответствующего договора. Привлечение производителя, перевозчика, субподрядчика или сервисного центра не освобождает Оператора от ответственности перед Покупателем, если закон или договор возлагает её на Оператора.</w:t>
      </w:r>
    </w:p>
    <w:p>
      <w:pPr>
        <w:pStyle w:val="LegalClause"/>
        <w:keepLines/>
        <w:widowControl/>
      </w:pPr>
      <w:r>
        <w:rPr>
          <w:b/>
        </w:rPr>
        <w:t xml:space="preserve">18.4. </w:t>
      </w:r>
      <w:r>
        <w:t>Оператор не отвечает за временную недоступность Платформы из-за профилактики, аварии, действий провайдеров, банков, платёжной инфраструктуры, органов власти или иных обстоятельств вне разумного контроля, но принимает разумные меры для восстановления и исполнения уже принятых обязательств.</w:t>
      </w:r>
    </w:p>
    <w:p>
      <w:pPr>
        <w:pStyle w:val="LegalClause"/>
        <w:keepLines/>
        <w:widowControl/>
      </w:pPr>
      <w:r>
        <w:rPr>
          <w:b/>
        </w:rPr>
        <w:t xml:space="preserve">18.5. </w:t>
      </w:r>
      <w:r>
        <w:t>Сторона освобождается от ответственности за нарушение вследствие чрезвычайных и непредотвратимых обстоятельств, если своевременно уведомит другую сторону и подтвердит влияние обстоятельств. Отсутствие денежных средств и нарушение контрагентом само по себе не признаются форс-мажором.</w:t>
      </w:r>
    </w:p>
    <w:p>
      <w:pPr>
        <w:pStyle w:val="LegalClause"/>
        <w:keepLines/>
        <w:widowControl/>
      </w:pPr>
      <w:r>
        <w:rPr>
          <w:b/>
        </w:rPr>
        <w:t xml:space="preserve">18.6. </w:t>
      </w:r>
      <w:r>
        <w:t>Для Пользователей, действующих в предпринимательских целях, упущенная выгода возмещается только если это прямо предусмотрено Индивидуальными условиями или императивной нормой. Это ограничение не применяется к Покупателям-потребителям.</w:t>
      </w:r>
    </w:p>
    <w:p>
      <w:pPr>
        <w:pStyle w:val="Heading1"/>
        <w:keepNext/>
        <w:keepLines/>
        <w:widowControl/>
      </w:pPr>
      <w:r>
        <w:t>19. Ограничение доступа и прекращение использования</w:t>
      </w:r>
    </w:p>
    <w:p>
      <w:pPr>
        <w:pStyle w:val="LegalClause"/>
        <w:keepLines/>
        <w:widowControl/>
      </w:pPr>
      <w:r>
        <w:rPr>
          <w:b/>
        </w:rPr>
        <w:t xml:space="preserve">19.1. </w:t>
      </w:r>
      <w:r>
        <w:t>Оператор вправе временно ограничить отдельную функцию или Личный кабинет для безопасности, проверки сведений, исполнения требования закона, предотвращения ущерба или устранения нарушения. При возможности Пользователь уведомляется о причине и способе восстановления доступа.</w:t>
      </w:r>
    </w:p>
    <w:p>
      <w:pPr>
        <w:pStyle w:val="LegalClause"/>
        <w:keepLines/>
        <w:widowControl/>
      </w:pPr>
      <w:r>
        <w:rPr>
          <w:b/>
        </w:rPr>
        <w:t xml:space="preserve">19.2. </w:t>
      </w:r>
      <w:r>
        <w:t>Ограничение доступа не прекращает обязанностей по уже заключённым Заказам. Пользователю сохраняется доступный канал для документов, претензий и расчётов, если иное не требуется законом или решением компетентного органа.</w:t>
      </w:r>
    </w:p>
    <w:p>
      <w:pPr>
        <w:pStyle w:val="LegalClause"/>
        <w:keepLines/>
        <w:widowControl/>
      </w:pPr>
      <w:r>
        <w:rPr>
          <w:b/>
        </w:rPr>
        <w:t xml:space="preserve">19.3. </w:t>
      </w:r>
      <w:r>
        <w:t>При существенном или повторном нарушении Оператор вправе расторгнуть договор об использовании Платформы в одностороннем порядке, уведомив Пользователя. Порядок прекращения отношений с Партнёром дополнительно регулируется партнёрским договором.</w:t>
      </w:r>
    </w:p>
    <w:p>
      <w:pPr>
        <w:pStyle w:val="Heading1"/>
        <w:keepNext/>
        <w:keepLines/>
        <w:widowControl/>
      </w:pPr>
      <w:r>
        <w:t>20. Электронное взаимодействие и юридически значимые сообщения</w:t>
      </w:r>
    </w:p>
    <w:p>
      <w:pPr>
        <w:pStyle w:val="LegalClause"/>
        <w:keepLines/>
        <w:widowControl/>
      </w:pPr>
      <w:r>
        <w:rPr>
          <w:b/>
        </w:rPr>
        <w:t xml:space="preserve">20.1. </w:t>
      </w:r>
      <w:r>
        <w:t>Стороны обмениваются сообщениями через Личный кабинет, электронную почту, номер телефона, систему электронного документооборота, интерфейс Платформы и иные согласованные каналы.</w:t>
      </w:r>
    </w:p>
    <w:p>
      <w:pPr>
        <w:pStyle w:val="LegalClause"/>
        <w:keepLines/>
        <w:widowControl/>
      </w:pPr>
      <w:r>
        <w:rPr>
          <w:b/>
        </w:rPr>
        <w:t xml:space="preserve">20.2. </w:t>
      </w:r>
      <w:r>
        <w:t>Сообщение считается исходящим от Пользователя, если направлено после авторизации, с указанного им адреса электронной почты, номера телефона или через согласованную систему электронной подписи. Пользователь уведомляет об изменении контактов.</w:t>
      </w:r>
    </w:p>
    <w:p>
      <w:pPr>
        <w:pStyle w:val="LegalClause"/>
        <w:keepLines/>
        <w:widowControl/>
      </w:pPr>
      <w:r>
        <w:rPr>
          <w:b/>
        </w:rPr>
        <w:t xml:space="preserve">20.3. </w:t>
      </w:r>
      <w:r>
        <w:t>Сообщение считается доставленным при отражении в Личном кабинете, фиксации доставки электронной почтой или информационной системой, либо вручении по адресу. Если закон требует иной формы или момента получения, применяется закон.</w:t>
      </w:r>
    </w:p>
    <w:p>
      <w:pPr>
        <w:pStyle w:val="LegalClause"/>
        <w:keepLines/>
        <w:widowControl/>
      </w:pPr>
      <w:r>
        <w:rPr>
          <w:b/>
        </w:rPr>
        <w:t xml:space="preserve">20.4. </w:t>
      </w:r>
      <w:r>
        <w:t>Обращения и коммуникации могут регистрироваться в корпоративной системе учёта взаимодействий Оператора, включая локальную систему Bitrix24, в целях исполнения Заказа, контроля качества, разрешения споров и информационной безопасности. Запись телефонного разговора выполняется с уведомлением и при наличии законного основания.</w:t>
      </w:r>
    </w:p>
    <w:p>
      <w:pPr>
        <w:pStyle w:val="LegalClause"/>
        <w:keepLines/>
        <w:widowControl/>
      </w:pPr>
      <w:r>
        <w:rPr>
          <w:b/>
        </w:rPr>
        <w:t xml:space="preserve">20.5. </w:t>
      </w:r>
      <w:r>
        <w:t>Электронные журналы событий, история Заказа, платёжные подтверждения и переписка могут использоваться как доказательства в допустимом законом объёме.</w:t>
      </w:r>
    </w:p>
    <w:p>
      <w:pPr>
        <w:pStyle w:val="Heading1"/>
        <w:keepNext/>
        <w:keepLines/>
        <w:widowControl/>
      </w:pPr>
      <w:r>
        <w:t>21. Изменение Соглашения и архив редакций</w:t>
      </w:r>
    </w:p>
    <w:p>
      <w:pPr>
        <w:pStyle w:val="LegalClause"/>
        <w:keepLines/>
        <w:widowControl/>
      </w:pPr>
      <w:r>
        <w:rPr>
          <w:b/>
        </w:rPr>
        <w:t xml:space="preserve">21.1. </w:t>
      </w:r>
      <w:r>
        <w:t>Оператор вправе изменить Соглашение в связи с развитием Платформы, изменением модели работы или законодательства. Новая редакция публикуется на promta.pro с номером и датой вступления в силу.</w:t>
      </w:r>
    </w:p>
    <w:p>
      <w:pPr>
        <w:pStyle w:val="LegalClause"/>
        <w:keepLines/>
        <w:widowControl/>
      </w:pPr>
      <w:r>
        <w:rPr>
          <w:b/>
        </w:rPr>
        <w:t xml:space="preserve">21.2. </w:t>
      </w:r>
      <w:r>
        <w:t>Для зарегистрированных Пользователей существенные изменения дополнительно доводятся через Личный кабинет или указанный контакт, когда это требуется законом или характером изменения. Продолжение использования после даты вступления изменений в силу означает принятие новой редакции только для будущего использования.</w:t>
      </w:r>
    </w:p>
    <w:p>
      <w:pPr>
        <w:pStyle w:val="LegalClause"/>
        <w:keepLines/>
        <w:widowControl/>
      </w:pPr>
      <w:r>
        <w:rPr>
          <w:b/>
        </w:rPr>
        <w:t xml:space="preserve">21.3. </w:t>
      </w:r>
      <w:r>
        <w:t>Изменения не ухудшают условия уже заключённого Заказа без согласия Покупателя, кроме случаев прямого действия обязательной нормы закона.</w:t>
      </w:r>
    </w:p>
    <w:p>
      <w:pPr>
        <w:pStyle w:val="LegalClause"/>
        <w:keepLines/>
        <w:widowControl/>
      </w:pPr>
      <w:r>
        <w:rPr>
          <w:b/>
        </w:rPr>
        <w:t xml:space="preserve">21.4. </w:t>
      </w:r>
      <w:r>
        <w:t>Оператор хранит действующую и предыдущие редакции, а также позволяет ознакомиться с ними на Платформе. Срок архивного хранения — не менее трёх лет после окончания действия редакции, если более длительный срок не установлен законом.</w:t>
      </w:r>
    </w:p>
    <w:p>
      <w:pPr>
        <w:pStyle w:val="Heading1"/>
        <w:keepNext/>
        <w:keepLines/>
        <w:widowControl/>
      </w:pPr>
      <w:r>
        <w:t>22. Претензионный порядок и споры</w:t>
      </w:r>
    </w:p>
    <w:p>
      <w:pPr>
        <w:pStyle w:val="LegalClause"/>
        <w:keepLines/>
        <w:widowControl/>
      </w:pPr>
      <w:r>
        <w:rPr>
          <w:b/>
        </w:rPr>
        <w:t xml:space="preserve">22.1. </w:t>
      </w:r>
      <w:r>
        <w:t>Для оперативного рассмотрения обращения Пользователь направляет его через Личный кабинет либо на pt24@pt24.ru с номером Заказа, описанием обстоятельств и требованием. Почтовые обращения направляются по юридическому адресу Оператора.</w:t>
      </w:r>
    </w:p>
    <w:p>
      <w:pPr>
        <w:pStyle w:val="LegalClause"/>
        <w:keepLines/>
        <w:widowControl/>
      </w:pPr>
      <w:r>
        <w:rPr>
          <w:b/>
        </w:rPr>
        <w:t xml:space="preserve">22.2. </w:t>
      </w:r>
      <w:r>
        <w:t>Оператор подтверждает регистрацию обращения и рассматривает его в срок, установленный законом или Индивидуальными условиями. Если законом установлен срок ответа либо удовлетворения соответствующего требования Покупателя-потребителя, применяется такой срок. При отсутствии специального срока ответ направляется в течение пятнадцати календарных дней. Рассмотрение сложного обращения может быть продлено только в случаях и порядке, предусмотренных законом или согласованных с Пользователем.</w:t>
      </w:r>
    </w:p>
    <w:p>
      <w:pPr>
        <w:pStyle w:val="LegalClause"/>
        <w:keepLines/>
        <w:widowControl/>
      </w:pPr>
      <w:r>
        <w:rPr>
          <w:b/>
        </w:rPr>
        <w:t xml:space="preserve">22.3. </w:t>
      </w:r>
      <w:r>
        <w:t>Покупатель-потребитель вправе обратиться в суд и государственные органы без обязательного соблюдения претензионного порядка, если закон не устанавливает иное. Территориальная подсудность определяется по выбору потребителя в предусмотренных законом случаях.</w:t>
      </w:r>
    </w:p>
    <w:p>
      <w:pPr>
        <w:pStyle w:val="LegalClause"/>
        <w:keepLines/>
        <w:widowControl/>
      </w:pPr>
      <w:r>
        <w:rPr>
          <w:b/>
        </w:rPr>
        <w:t xml:space="preserve">22.4. </w:t>
      </w:r>
      <w:r>
        <w:t>Споры с юридическими лицами и индивидуальными предпринимателями, не урегулированные переговорами, передаются в Арбитражный суд города Москвы, если иная исключительная подсудность или договорная оговорка не установлена законом или Индивидуальными условиями.</w:t>
      </w:r>
    </w:p>
    <w:p>
      <w:pPr>
        <w:pStyle w:val="LegalClause"/>
        <w:keepLines/>
        <w:widowControl/>
      </w:pPr>
      <w:r>
        <w:rPr>
          <w:b/>
        </w:rPr>
        <w:t xml:space="preserve">22.5. </w:t>
      </w:r>
      <w:r>
        <w:t>К Соглашению и Заказам применяется право Российской Федерации. С 1 октября 2026 года отношения, подпадающие под его действие, также регулируются Федеральным законом от 31.07.2025 № 289-ФЗ «Об отдельных вопросах регулирования платформенной экономики в Российской Федерации».</w:t>
      </w:r>
    </w:p>
    <w:p>
      <w:pPr>
        <w:pStyle w:val="Heading1"/>
        <w:keepNext/>
        <w:keepLines/>
        <w:widowControl/>
      </w:pPr>
      <w:r>
        <w:t>23. Реквизиты Оператора</w:t>
      </w:r>
    </w:p>
    <w:tbl>
      <w:tblPr>
        <w:tblW w:type="auto" w:w="0"/>
        <w:jc w:val="center"/>
        <w:tblLayout w:type="fixed"/>
        <w:tblLook w:firstColumn="1" w:firstRow="1" w:lastColumn="0" w:lastRow="0" w:noHBand="0" w:noVBand="1" w:val="04A0"/>
        <w:tblBorders>
          <w:top w:val="single" w:sz="4" w:space="0" w:color="D4DBE3"/>
          <w:left w:val="single" w:sz="4" w:space="0" w:color="D4DBE3"/>
          <w:bottom w:val="single" w:sz="4" w:space="0" w:color="D4DBE3"/>
          <w:right w:val="single" w:sz="4" w:space="0" w:color="D4DBE3"/>
          <w:insideH w:val="single" w:sz="4" w:space="0" w:color="D4DBE3"/>
          <w:insideV w:val="single" w:sz="4" w:space="0" w:color="D4DBE3"/>
        </w:tblBorders>
      </w:tblPr>
      <w:tblGrid>
        <w:gridCol w:w="4847"/>
        <w:gridCol w:w="4847"/>
      </w:tblGrid>
      <w:tr>
        <w:trPr>
          <w:cantSplit/>
          <w:tblHeader w:val="true"/>
        </w:trPr>
        <w:tc>
          <w:tcPr>
            <w:tcW w:type="dxa" w:w="2900"/>
            <w:tcMar>
              <w:top w:w="90" w:type="dxa"/>
              <w:start w:w="110" w:type="dxa"/>
              <w:bottom w:w="90" w:type="dxa"/>
              <w:end w:w="110" w:type="dxa"/>
            </w:tcMar>
            <w:shd w:fill="F8FAFC"/>
          </w:tcPr>
          <w:p>
            <w:pPr>
              <w:spacing w:after="0"/>
            </w:pPr>
            <w:r>
              <w:rPr>
                <w:b/>
                <w:sz w:val="18"/>
              </w:rPr>
              <w:t>Полное наименование</w:t>
            </w:r>
          </w:p>
        </w:tc>
        <w:tc>
          <w:tcPr>
            <w:tcW w:type="dxa" w:w="6790"/>
            <w:tcMar>
              <w:top w:w="90" w:type="dxa"/>
              <w:start w:w="110" w:type="dxa"/>
              <w:bottom w:w="90" w:type="dxa"/>
              <w:end w:w="110" w:type="dxa"/>
            </w:tcMar>
            <w:shd w:fill="F8FAFC"/>
          </w:tcPr>
          <w:p>
            <w:pPr>
              <w:spacing w:after="0"/>
            </w:pPr>
            <w:r>
              <w:rPr>
                <w:sz w:val="18"/>
              </w:rPr>
              <w:t>Общество с ограниченной ответственностью «Пищевые технологии»</w:t>
            </w:r>
          </w:p>
        </w:tc>
      </w:tr>
      <w:tr>
        <w:trPr>
          <w:cantSplit/>
        </w:trPr>
        <w:tc>
          <w:tcPr>
            <w:tcW w:type="dxa" w:w="2900"/>
            <w:tcMar>
              <w:top w:w="90" w:type="dxa"/>
              <w:start w:w="110" w:type="dxa"/>
              <w:bottom w:w="90" w:type="dxa"/>
              <w:end w:w="110" w:type="dxa"/>
            </w:tcMar>
          </w:tcPr>
          <w:p>
            <w:pPr>
              <w:spacing w:after="0"/>
            </w:pPr>
            <w:r>
              <w:rPr>
                <w:b/>
                <w:sz w:val="18"/>
              </w:rPr>
              <w:t>Сокращённое наименование</w:t>
            </w:r>
          </w:p>
        </w:tc>
        <w:tc>
          <w:tcPr>
            <w:tcW w:type="dxa" w:w="6790"/>
            <w:tcMar>
              <w:top w:w="90" w:type="dxa"/>
              <w:start w:w="110" w:type="dxa"/>
              <w:bottom w:w="90" w:type="dxa"/>
              <w:end w:w="110" w:type="dxa"/>
            </w:tcMar>
          </w:tcPr>
          <w:p>
            <w:pPr>
              <w:spacing w:after="0"/>
            </w:pPr>
            <w:r>
              <w:rPr>
                <w:sz w:val="18"/>
              </w:rPr>
              <w:t>ООО «Пищевые технологии»</w:t>
            </w:r>
          </w:p>
        </w:tc>
      </w:tr>
      <w:tr>
        <w:trPr>
          <w:cantSplit/>
        </w:trPr>
        <w:tc>
          <w:tcPr>
            <w:tcW w:type="dxa" w:w="2900"/>
            <w:tcMar>
              <w:top w:w="90" w:type="dxa"/>
              <w:start w:w="110" w:type="dxa"/>
              <w:bottom w:w="90" w:type="dxa"/>
              <w:end w:w="110" w:type="dxa"/>
            </w:tcMar>
            <w:shd w:fill="F8FAFC"/>
          </w:tcPr>
          <w:p>
            <w:pPr>
              <w:spacing w:after="0"/>
            </w:pPr>
            <w:r>
              <w:rPr>
                <w:b/>
                <w:sz w:val="18"/>
              </w:rPr>
              <w:t>ОГРН</w:t>
            </w:r>
          </w:p>
        </w:tc>
        <w:tc>
          <w:tcPr>
            <w:tcW w:type="dxa" w:w="6790"/>
            <w:tcMar>
              <w:top w:w="90" w:type="dxa"/>
              <w:start w:w="110" w:type="dxa"/>
              <w:bottom w:w="90" w:type="dxa"/>
              <w:end w:w="110" w:type="dxa"/>
            </w:tcMar>
            <w:shd w:fill="F8FAFC"/>
          </w:tcPr>
          <w:p>
            <w:pPr>
              <w:spacing w:after="0"/>
            </w:pPr>
            <w:r>
              <w:rPr>
                <w:sz w:val="18"/>
              </w:rPr>
              <w:t>1087746287221</w:t>
            </w:r>
          </w:p>
        </w:tc>
      </w:tr>
      <w:tr>
        <w:trPr>
          <w:cantSplit/>
        </w:trPr>
        <w:tc>
          <w:tcPr>
            <w:tcW w:type="dxa" w:w="2900"/>
            <w:tcMar>
              <w:top w:w="90" w:type="dxa"/>
              <w:start w:w="110" w:type="dxa"/>
              <w:bottom w:w="90" w:type="dxa"/>
              <w:end w:w="110" w:type="dxa"/>
            </w:tcMar>
          </w:tcPr>
          <w:p>
            <w:pPr>
              <w:spacing w:after="0"/>
            </w:pPr>
            <w:r>
              <w:rPr>
                <w:b/>
                <w:sz w:val="18"/>
              </w:rPr>
              <w:t>ИНН / КПП</w:t>
            </w:r>
          </w:p>
        </w:tc>
        <w:tc>
          <w:tcPr>
            <w:tcW w:type="dxa" w:w="6790"/>
            <w:tcMar>
              <w:top w:w="90" w:type="dxa"/>
              <w:start w:w="110" w:type="dxa"/>
              <w:bottom w:w="90" w:type="dxa"/>
              <w:end w:w="110" w:type="dxa"/>
            </w:tcMar>
          </w:tcPr>
          <w:p>
            <w:pPr>
              <w:spacing w:after="0"/>
            </w:pPr>
            <w:r>
              <w:rPr>
                <w:sz w:val="18"/>
              </w:rPr>
              <w:t>7735538310 / 773501001</w:t>
            </w:r>
          </w:p>
        </w:tc>
      </w:tr>
      <w:tr>
        <w:trPr>
          <w:cantSplit/>
        </w:trPr>
        <w:tc>
          <w:tcPr>
            <w:tcW w:type="dxa" w:w="2900"/>
            <w:tcMar>
              <w:top w:w="90" w:type="dxa"/>
              <w:start w:w="110" w:type="dxa"/>
              <w:bottom w:w="90" w:type="dxa"/>
              <w:end w:w="110" w:type="dxa"/>
            </w:tcMar>
            <w:shd w:fill="F8FAFC"/>
          </w:tcPr>
          <w:p>
            <w:pPr>
              <w:spacing w:after="0"/>
            </w:pPr>
            <w:r>
              <w:rPr>
                <w:b/>
                <w:sz w:val="18"/>
              </w:rPr>
              <w:t>Юридический адрес</w:t>
            </w:r>
          </w:p>
        </w:tc>
        <w:tc>
          <w:tcPr>
            <w:tcW w:type="dxa" w:w="6790"/>
            <w:tcMar>
              <w:top w:w="90" w:type="dxa"/>
              <w:start w:w="110" w:type="dxa"/>
              <w:bottom w:w="90" w:type="dxa"/>
              <w:end w:w="110" w:type="dxa"/>
            </w:tcMar>
            <w:shd w:fill="F8FAFC"/>
          </w:tcPr>
          <w:p>
            <w:pPr>
              <w:spacing w:after="0"/>
            </w:pPr>
            <w:r>
              <w:rPr>
                <w:sz w:val="18"/>
              </w:rPr>
              <w:t>124482, Российская Федерация, г. Москва, внутригородская территория муниципальный округ Савёлки, г. Зеленоград, корп. 317А, стр. 1, помещ. 8Н</w:t>
            </w:r>
          </w:p>
        </w:tc>
      </w:tr>
      <w:tr>
        <w:trPr>
          <w:cantSplit/>
        </w:trPr>
        <w:tc>
          <w:tcPr>
            <w:tcW w:type="dxa" w:w="2900"/>
            <w:tcMar>
              <w:top w:w="90" w:type="dxa"/>
              <w:start w:w="110" w:type="dxa"/>
              <w:bottom w:w="90" w:type="dxa"/>
              <w:end w:w="110" w:type="dxa"/>
            </w:tcMar>
          </w:tcPr>
          <w:p>
            <w:pPr>
              <w:spacing w:after="0"/>
            </w:pPr>
            <w:r>
              <w:rPr>
                <w:b/>
                <w:sz w:val="18"/>
              </w:rPr>
              <w:t>Банк</w:t>
            </w:r>
          </w:p>
        </w:tc>
        <w:tc>
          <w:tcPr>
            <w:tcW w:type="dxa" w:w="6790"/>
            <w:tcMar>
              <w:top w:w="90" w:type="dxa"/>
              <w:start w:w="110" w:type="dxa"/>
              <w:bottom w:w="90" w:type="dxa"/>
              <w:end w:w="110" w:type="dxa"/>
            </w:tcMar>
          </w:tcPr>
          <w:p>
            <w:pPr>
              <w:spacing w:after="0"/>
            </w:pPr>
            <w:r>
              <w:rPr>
                <w:sz w:val="18"/>
              </w:rPr>
              <w:t>Волго-Вятский банк ПАО Сбербанк</w:t>
            </w:r>
          </w:p>
        </w:tc>
      </w:tr>
      <w:tr>
        <w:trPr>
          <w:cantSplit/>
        </w:trPr>
        <w:tc>
          <w:tcPr>
            <w:tcW w:type="dxa" w:w="2900"/>
            <w:tcMar>
              <w:top w:w="90" w:type="dxa"/>
              <w:start w:w="110" w:type="dxa"/>
              <w:bottom w:w="90" w:type="dxa"/>
              <w:end w:w="110" w:type="dxa"/>
            </w:tcMar>
            <w:shd w:fill="F8FAFC"/>
          </w:tcPr>
          <w:p>
            <w:pPr>
              <w:spacing w:after="0"/>
            </w:pPr>
            <w:r>
              <w:rPr>
                <w:b/>
                <w:sz w:val="18"/>
              </w:rPr>
              <w:t>Адрес банка</w:t>
            </w:r>
          </w:p>
        </w:tc>
        <w:tc>
          <w:tcPr>
            <w:tcW w:type="dxa" w:w="6790"/>
            <w:tcMar>
              <w:top w:w="90" w:type="dxa"/>
              <w:start w:w="110" w:type="dxa"/>
              <w:bottom w:w="90" w:type="dxa"/>
              <w:end w:w="110" w:type="dxa"/>
            </w:tcMar>
            <w:shd w:fill="F8FAFC"/>
          </w:tcPr>
          <w:p>
            <w:pPr>
              <w:spacing w:after="0"/>
            </w:pPr>
            <w:r>
              <w:rPr>
                <w:sz w:val="18"/>
              </w:rPr>
              <w:t>603005, г. Нижний Новгород, ул. Октябрьская, д. 35</w:t>
            </w:r>
          </w:p>
        </w:tc>
      </w:tr>
      <w:tr>
        <w:trPr>
          <w:cantSplit/>
        </w:trPr>
        <w:tc>
          <w:tcPr>
            <w:tcW w:type="dxa" w:w="2900"/>
            <w:tcMar>
              <w:top w:w="90" w:type="dxa"/>
              <w:start w:w="110" w:type="dxa"/>
              <w:bottom w:w="90" w:type="dxa"/>
              <w:end w:w="110" w:type="dxa"/>
            </w:tcMar>
          </w:tcPr>
          <w:p>
            <w:pPr>
              <w:spacing w:after="0"/>
            </w:pPr>
            <w:r>
              <w:rPr>
                <w:b/>
                <w:sz w:val="18"/>
              </w:rPr>
              <w:t>Расчётный счёт</w:t>
            </w:r>
          </w:p>
        </w:tc>
        <w:tc>
          <w:tcPr>
            <w:tcW w:type="dxa" w:w="6790"/>
            <w:tcMar>
              <w:top w:w="90" w:type="dxa"/>
              <w:start w:w="110" w:type="dxa"/>
              <w:bottom w:w="90" w:type="dxa"/>
              <w:end w:w="110" w:type="dxa"/>
            </w:tcMar>
          </w:tcPr>
          <w:p>
            <w:pPr>
              <w:spacing w:after="0"/>
            </w:pPr>
            <w:r>
              <w:rPr>
                <w:sz w:val="18"/>
              </w:rPr>
              <w:t>40702810949710005097</w:t>
            </w:r>
          </w:p>
        </w:tc>
      </w:tr>
      <w:tr>
        <w:trPr>
          <w:cantSplit/>
        </w:trPr>
        <w:tc>
          <w:tcPr>
            <w:tcW w:type="dxa" w:w="2900"/>
            <w:tcMar>
              <w:top w:w="90" w:type="dxa"/>
              <w:start w:w="110" w:type="dxa"/>
              <w:bottom w:w="90" w:type="dxa"/>
              <w:end w:w="110" w:type="dxa"/>
            </w:tcMar>
            <w:shd w:fill="F8FAFC"/>
          </w:tcPr>
          <w:p>
            <w:pPr>
              <w:spacing w:after="0"/>
            </w:pPr>
            <w:r>
              <w:rPr>
                <w:b/>
                <w:sz w:val="18"/>
              </w:rPr>
              <w:t>Корреспондентский счёт</w:t>
            </w:r>
          </w:p>
        </w:tc>
        <w:tc>
          <w:tcPr>
            <w:tcW w:type="dxa" w:w="6790"/>
            <w:tcMar>
              <w:top w:w="90" w:type="dxa"/>
              <w:start w:w="110" w:type="dxa"/>
              <w:bottom w:w="90" w:type="dxa"/>
              <w:end w:w="110" w:type="dxa"/>
            </w:tcMar>
            <w:shd w:fill="F8FAFC"/>
          </w:tcPr>
          <w:p>
            <w:pPr>
              <w:spacing w:after="0"/>
            </w:pPr>
            <w:r>
              <w:rPr>
                <w:sz w:val="18"/>
              </w:rPr>
              <w:t>30101810900000000603</w:t>
            </w:r>
          </w:p>
        </w:tc>
      </w:tr>
      <w:tr>
        <w:trPr>
          <w:cantSplit/>
        </w:trPr>
        <w:tc>
          <w:tcPr>
            <w:tcW w:type="dxa" w:w="2900"/>
            <w:tcMar>
              <w:top w:w="90" w:type="dxa"/>
              <w:start w:w="110" w:type="dxa"/>
              <w:bottom w:w="90" w:type="dxa"/>
              <w:end w:w="110" w:type="dxa"/>
            </w:tcMar>
          </w:tcPr>
          <w:p>
            <w:pPr>
              <w:spacing w:after="0"/>
            </w:pPr>
            <w:r>
              <w:rPr>
                <w:b/>
                <w:sz w:val="18"/>
              </w:rPr>
              <w:t>БИК</w:t>
            </w:r>
          </w:p>
        </w:tc>
        <w:tc>
          <w:tcPr>
            <w:tcW w:type="dxa" w:w="6790"/>
            <w:tcMar>
              <w:top w:w="90" w:type="dxa"/>
              <w:start w:w="110" w:type="dxa"/>
              <w:bottom w:w="90" w:type="dxa"/>
              <w:end w:w="110" w:type="dxa"/>
            </w:tcMar>
          </w:tcPr>
          <w:p>
            <w:pPr>
              <w:spacing w:after="0"/>
            </w:pPr>
            <w:r>
              <w:rPr>
                <w:sz w:val="18"/>
              </w:rPr>
              <w:t>042202603</w:t>
            </w:r>
          </w:p>
        </w:tc>
      </w:tr>
      <w:tr>
        <w:trPr>
          <w:cantSplit/>
        </w:trPr>
        <w:tc>
          <w:tcPr>
            <w:tcW w:type="dxa" w:w="2900"/>
            <w:tcMar>
              <w:top w:w="90" w:type="dxa"/>
              <w:start w:w="110" w:type="dxa"/>
              <w:bottom w:w="90" w:type="dxa"/>
              <w:end w:w="110" w:type="dxa"/>
            </w:tcMar>
            <w:shd w:fill="F8FAFC"/>
          </w:tcPr>
          <w:p>
            <w:pPr>
              <w:spacing w:after="0"/>
            </w:pPr>
            <w:r>
              <w:rPr>
                <w:b/>
                <w:sz w:val="18"/>
              </w:rPr>
              <w:t>Телефон</w:t>
            </w:r>
          </w:p>
        </w:tc>
        <w:tc>
          <w:tcPr>
            <w:tcW w:type="dxa" w:w="6790"/>
            <w:tcMar>
              <w:top w:w="90" w:type="dxa"/>
              <w:start w:w="110" w:type="dxa"/>
              <w:bottom w:w="90" w:type="dxa"/>
              <w:end w:w="110" w:type="dxa"/>
            </w:tcMar>
            <w:shd w:fill="F8FAFC"/>
          </w:tcPr>
          <w:p>
            <w:pPr>
              <w:spacing w:after="0"/>
            </w:pPr>
            <w:r>
              <w:rPr>
                <w:sz w:val="18"/>
              </w:rPr>
              <w:t>+7 (499) 350-18-19</w:t>
            </w:r>
          </w:p>
        </w:tc>
      </w:tr>
      <w:tr>
        <w:trPr>
          <w:cantSplit/>
        </w:trPr>
        <w:tc>
          <w:tcPr>
            <w:tcW w:type="dxa" w:w="2900"/>
            <w:tcMar>
              <w:top w:w="90" w:type="dxa"/>
              <w:start w:w="110" w:type="dxa"/>
              <w:bottom w:w="90" w:type="dxa"/>
              <w:end w:w="110" w:type="dxa"/>
            </w:tcMar>
          </w:tcPr>
          <w:p>
            <w:pPr>
              <w:spacing w:after="0"/>
            </w:pPr>
            <w:r>
              <w:rPr>
                <w:b/>
                <w:sz w:val="18"/>
              </w:rPr>
              <w:t>Электронная почта</w:t>
            </w:r>
          </w:p>
        </w:tc>
        <w:tc>
          <w:tcPr>
            <w:tcW w:type="dxa" w:w="6790"/>
            <w:tcMar>
              <w:top w:w="90" w:type="dxa"/>
              <w:start w:w="110" w:type="dxa"/>
              <w:bottom w:w="90" w:type="dxa"/>
              <w:end w:w="110" w:type="dxa"/>
            </w:tcMar>
          </w:tcPr>
          <w:p>
            <w:pPr>
              <w:spacing w:after="0"/>
            </w:pPr>
            <w:r>
              <w:rPr>
                <w:color w:val="2F5597"/>
                <w:sz w:val="18"/>
                <w:u w:val="single"/>
                <w:noProof/>
              </w:rPr>
              <w:t>pt24@pt24.ru</w:t>
            </w:r>
          </w:p>
        </w:tc>
      </w:tr>
      <w:tr>
        <w:trPr>
          <w:cantSplit/>
        </w:trPr>
        <w:tc>
          <w:tcPr>
            <w:tcW w:type="dxa" w:w="2900"/>
            <w:tcMar>
              <w:top w:w="90" w:type="dxa"/>
              <w:start w:w="110" w:type="dxa"/>
              <w:bottom w:w="90" w:type="dxa"/>
              <w:end w:w="110" w:type="dxa"/>
            </w:tcMar>
            <w:shd w:fill="F8FAFC"/>
          </w:tcPr>
          <w:p>
            <w:pPr>
              <w:spacing w:after="0"/>
            </w:pPr>
            <w:r>
              <w:rPr>
                <w:b/>
                <w:sz w:val="18"/>
              </w:rPr>
              <w:t>Сайт</w:t>
            </w:r>
          </w:p>
        </w:tc>
        <w:tc>
          <w:tcPr>
            <w:tcW w:type="dxa" w:w="6790"/>
            <w:tcMar>
              <w:top w:w="90" w:type="dxa"/>
              <w:start w:w="110" w:type="dxa"/>
              <w:bottom w:w="90" w:type="dxa"/>
              <w:end w:w="110" w:type="dxa"/>
            </w:tcMar>
            <w:shd w:fill="F8FAFC"/>
          </w:tcPr>
          <w:p>
            <w:pPr>
              <w:spacing w:after="0"/>
            </w:pPr>
            <w:r>
              <w:rPr>
                <w:color w:val="2F5597"/>
                <w:sz w:val="18"/>
                <w:u w:val="single"/>
                <w:noProof/>
              </w:rPr>
              <w:t>https://promta.pro</w:t>
            </w:r>
          </w:p>
        </w:tc>
      </w:tr>
    </w:tbl>
    <w:p/>
    <w:p>
      <w:pPr>
        <w:pStyle w:val="LegalNote"/>
        <w:jc w:val="left"/>
      </w:pPr>
      <w:r>
        <w:rPr>
          <w:b/>
        </w:rPr>
        <w:t xml:space="preserve">Дата публикации редакции 1.1: 12 сентября 2026 года. </w:t>
      </w:r>
      <w:r>
        <w:t>Действующая редакция размещается на сайте promta.pro.</w:t>
      </w:r>
    </w:p>
    <w:sectPr w:rsidR="00FC693F" w:rsidRPr="0006063C" w:rsidSect="00034616">
      <w:headerReference w:type="default" r:id="rId9"/>
      <w:footerReference w:type="default" r:id="rId10"/>
      <w:footerReference w:type="first" r:id="rId11"/>
      <w:pgSz w:w="11906" w:h="16838"/>
      <w:pgMar w:top="1077" w:right="1020" w:bottom="964" w:left="1191"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87684"/>
        <w:sz w:val="17"/>
      </w:rPr>
      <w:t xml:space="preserve">promta.pro   ·   страница </w:t>
    </w:r>
    <w:r>
      <w:rPr>
        <w:sz w:val="17"/>
      </w:rPr>
      <w:fldChar w:fldCharType="begin"/>
      <w:instrText xml:space="preserve">PAGE</w:instrText>
      <w:fldChar w:fldCharType="separate"/>
      <w:t>1</w:t>
      <w:fldChar w:fldCharType="end"/>
    </w:r>
    <w:r>
      <w:rPr>
        <w:sz w:val="17"/>
      </w:rPr>
      <w:t xml:space="preserve"> из </w:t>
    </w:r>
    <w:r>
      <w:rPr>
        <w:sz w:val="17"/>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87684"/>
        <w:sz w:val="17"/>
      </w:rPr>
      <w:t xml:space="preserve">promta.pro   ·   страница </w:t>
    </w:r>
    <w:r>
      <w:rPr>
        <w:sz w:val="17"/>
      </w:rPr>
      <w:fldChar w:fldCharType="begin"/>
      <w:instrText xml:space="preserve">PAGE</w:instrText>
      <w:fldChar w:fldCharType="separate"/>
      <w:t>1</w:t>
      <w:fldChar w:fldCharType="end"/>
    </w:r>
    <w:r>
      <w:rPr>
        <w:sz w:val="17"/>
      </w:rPr>
      <w:t xml:space="preserve"> из </w:t>
    </w:r>
    <w:r>
      <w:rPr>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libri" w:hAnsi="Calibri"/>
        <w:color w:val="687684"/>
        <w:sz w:val="17"/>
      </w:rPr>
      <w:t>PROMTA.PRO  ·  Пользовательское соглашение  ·  редакция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90"/>
      <w:jc w:val="both"/>
    </w:pPr>
    <w:rPr>
      <w:rFonts w:ascii="Calibri" w:hAnsi="Calibri" w:eastAsia="Calibri"/>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eastAsia="Calibr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eastAsia="Calibr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pPr>
    <w:rPr>
      <w:rFonts w:asciiTheme="majorHAnsi" w:eastAsiaTheme="majorEastAsia" w:hAnsiTheme="majorHAnsi" w:cstheme="majorBidi" w:ascii="Calibri" w:hAnsi="Calibri" w:eastAsia="Calibri"/>
      <w:b w:val="0"/>
      <w:i/>
      <w:iCs/>
      <w:color w:val="2F559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lause">
    <w:name w:val="Legal Clause"/>
    <w:basedOn w:val="Normal"/>
    <w:pPr>
      <w:spacing w:line="259" w:lineRule="auto" w:after="80"/>
      <w:ind w:left="0" w:firstLine="0"/>
      <w:jc w:val="both"/>
    </w:pPr>
    <w:rPr>
      <w:rFonts w:ascii="Calibri" w:hAnsi="Calibri" w:eastAsia="Calibri"/>
      <w:sz w:val="21"/>
    </w:rPr>
  </w:style>
  <w:style w:type="paragraph" w:customStyle="1" w:styleId="LegalNote">
    <w:name w:val="Legal Note"/>
    <w:basedOn w:val="Normal"/>
    <w:pPr>
      <w:spacing w:before="60" w:after="140"/>
      <w:ind w:left="255" w:right="142"/>
    </w:pPr>
    <w:rPr>
      <w:rFonts w:ascii="Calibri" w:hAnsi="Calibri" w:eastAsia="Calibri"/>
      <w:color w:val="4F5B66"/>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Пользовательское соглашение PROMTA.PRO — редакция 1.1</dc:title>
  <dc:subject>Условия использования маркетплейса пищевого оборудования PROMTA.PRO</dc:subject>
  <dc:creator>ООО «Пищевые технологии»</dc:creator>
  <cp:keywords>PROMTA.PRO, пользовательское соглашение, маркетплейс, ЮKassa</cp:keywords>
  <dc:description>Редакция 1.1 от 12.09.2026</dc:description>
  <cp:lastModifiedBy/>
  <cp:revision>1</cp:revision>
  <dcterms:created xsi:type="dcterms:W3CDTF">2013-12-23T23:15:00Z</dcterms:created>
  <dcterms:modified xsi:type="dcterms:W3CDTF">2013-12-23T23:15:00Z</dcterms:modified>
  <cp:category/>
</cp:coreProperties>
</file>